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26DC" w:rsidRPr="00CB2647" w:rsidRDefault="00903ED9" w:rsidP="00903ED9">
      <w:pPr>
        <w:jc w:val="center"/>
        <w:rPr>
          <w:b/>
          <w:bCs/>
        </w:rPr>
      </w:pPr>
      <w:r w:rsidRPr="00CB2647">
        <w:object w:dxaOrig="1865" w:dyaOrig="15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4.25pt;height:87pt" o:ole="" fillcolor="window">
            <v:imagedata r:id="rId8" o:title=""/>
          </v:shape>
          <o:OLEObject Type="Embed" ProgID="CDraw4" ShapeID="_x0000_i1025" DrawAspect="Content" ObjectID="_1514666271" r:id="rId9">
            <o:FieldCodes>\s \* mergeformat</o:FieldCodes>
          </o:OLEObject>
        </w:object>
      </w:r>
    </w:p>
    <w:p w:rsidR="006926DC" w:rsidRPr="00CB2647" w:rsidRDefault="006926DC" w:rsidP="00903ED9">
      <w:pPr>
        <w:spacing w:line="240" w:lineRule="auto"/>
        <w:jc w:val="center"/>
        <w:rPr>
          <w:b/>
          <w:bCs/>
        </w:rPr>
      </w:pPr>
      <w:r w:rsidRPr="00CB2647">
        <w:rPr>
          <w:b/>
          <w:bCs/>
        </w:rPr>
        <w:t>1993</w:t>
      </w:r>
    </w:p>
    <w:p w:rsidR="006926DC" w:rsidRPr="00CB2647" w:rsidRDefault="006926DC" w:rsidP="00903ED9">
      <w:pPr>
        <w:tabs>
          <w:tab w:val="clear" w:pos="709"/>
          <w:tab w:val="left" w:pos="720"/>
          <w:tab w:val="center" w:pos="4535"/>
        </w:tabs>
        <w:spacing w:line="240" w:lineRule="auto"/>
        <w:jc w:val="center"/>
        <w:rPr>
          <w:b/>
          <w:bCs/>
          <w:sz w:val="28"/>
          <w:szCs w:val="28"/>
        </w:rPr>
      </w:pPr>
      <w:r w:rsidRPr="00CB2647">
        <w:rPr>
          <w:b/>
          <w:bCs/>
          <w:sz w:val="28"/>
          <w:szCs w:val="28"/>
        </w:rPr>
        <w:t>BAŞKENT ÜNİVERSİTESİ</w:t>
      </w:r>
    </w:p>
    <w:p w:rsidR="006926DC" w:rsidRPr="00CB2647" w:rsidRDefault="006926DC" w:rsidP="00903ED9">
      <w:pPr>
        <w:autoSpaceDE w:val="0"/>
        <w:autoSpaceDN w:val="0"/>
        <w:adjustRightInd w:val="0"/>
        <w:spacing w:line="240" w:lineRule="auto"/>
        <w:jc w:val="center"/>
        <w:rPr>
          <w:b/>
          <w:bCs/>
          <w:sz w:val="28"/>
          <w:szCs w:val="28"/>
        </w:rPr>
      </w:pPr>
      <w:r w:rsidRPr="00CB2647">
        <w:rPr>
          <w:b/>
          <w:bCs/>
          <w:sz w:val="28"/>
          <w:szCs w:val="28"/>
        </w:rPr>
        <w:t>TIP FAKÜLTESİ</w:t>
      </w:r>
    </w:p>
    <w:p w:rsidR="006926DC" w:rsidRPr="00CB2647" w:rsidRDefault="006926DC" w:rsidP="00903ED9">
      <w:pPr>
        <w:autoSpaceDE w:val="0"/>
        <w:autoSpaceDN w:val="0"/>
        <w:adjustRightInd w:val="0"/>
        <w:spacing w:line="240" w:lineRule="auto"/>
        <w:jc w:val="center"/>
        <w:rPr>
          <w:b/>
          <w:bCs/>
          <w:sz w:val="28"/>
          <w:szCs w:val="28"/>
        </w:rPr>
      </w:pPr>
      <w:r w:rsidRPr="00CB2647">
        <w:rPr>
          <w:b/>
          <w:bCs/>
          <w:sz w:val="28"/>
          <w:szCs w:val="28"/>
        </w:rPr>
        <w:t>Kadın Hastalıkları ve Doğum Anabilim Dalı</w:t>
      </w:r>
    </w:p>
    <w:p w:rsidR="006926DC" w:rsidRPr="00CB2647" w:rsidRDefault="006926DC" w:rsidP="00903ED9"/>
    <w:p w:rsidR="006926DC" w:rsidRDefault="006926DC" w:rsidP="00903ED9"/>
    <w:p w:rsidR="00903ED9" w:rsidRDefault="00903ED9" w:rsidP="00903ED9"/>
    <w:p w:rsidR="00903ED9" w:rsidRDefault="00903ED9" w:rsidP="00903ED9"/>
    <w:p w:rsidR="00903ED9" w:rsidRPr="00CB2647" w:rsidRDefault="00903ED9" w:rsidP="00903ED9"/>
    <w:p w:rsidR="006926DC" w:rsidRPr="00CB2647" w:rsidRDefault="006926DC" w:rsidP="00903ED9"/>
    <w:p w:rsidR="009A09B4" w:rsidRPr="00CB2647" w:rsidRDefault="009A09B4" w:rsidP="00903ED9">
      <w:pPr>
        <w:jc w:val="center"/>
        <w:rPr>
          <w:rFonts w:cs="Times New Roman"/>
          <w:b/>
          <w:sz w:val="28"/>
          <w:szCs w:val="28"/>
        </w:rPr>
      </w:pPr>
      <w:r w:rsidRPr="00CB2647">
        <w:rPr>
          <w:rFonts w:cs="Times New Roman"/>
          <w:b/>
          <w:sz w:val="28"/>
          <w:szCs w:val="28"/>
        </w:rPr>
        <w:t>KÖTÜ OVER REZERVİ OLAN HASTALARDA YUMURTA TOPLAMA İŞLEMİNDE TEK LÜMEN İLE ÇİFT LÜMEN İĞNE KULLANIMININ KARŞILAŞTIRI</w:t>
      </w:r>
      <w:bookmarkStart w:id="0" w:name="_GoBack"/>
      <w:bookmarkEnd w:id="0"/>
      <w:r w:rsidRPr="00CB2647">
        <w:rPr>
          <w:rFonts w:cs="Times New Roman"/>
          <w:b/>
          <w:sz w:val="28"/>
          <w:szCs w:val="28"/>
        </w:rPr>
        <w:t>LMASI</w:t>
      </w:r>
    </w:p>
    <w:p w:rsidR="006926DC" w:rsidRPr="00CB2647" w:rsidRDefault="006926DC" w:rsidP="00903ED9"/>
    <w:p w:rsidR="006926DC" w:rsidRPr="00CB2647" w:rsidRDefault="006926DC" w:rsidP="00903ED9"/>
    <w:p w:rsidR="006926DC" w:rsidRDefault="006926DC" w:rsidP="00903ED9"/>
    <w:p w:rsidR="00903ED9" w:rsidRPr="00CB2647" w:rsidRDefault="00903ED9" w:rsidP="00903ED9"/>
    <w:p w:rsidR="006926DC" w:rsidRPr="00CB2647" w:rsidRDefault="006926DC" w:rsidP="00903ED9">
      <w:pPr>
        <w:autoSpaceDE w:val="0"/>
        <w:autoSpaceDN w:val="0"/>
        <w:adjustRightInd w:val="0"/>
        <w:spacing w:line="240" w:lineRule="auto"/>
        <w:jc w:val="center"/>
        <w:rPr>
          <w:b/>
          <w:bCs/>
          <w:sz w:val="28"/>
          <w:szCs w:val="28"/>
        </w:rPr>
      </w:pPr>
      <w:r w:rsidRPr="00CB2647">
        <w:rPr>
          <w:b/>
          <w:bCs/>
          <w:sz w:val="28"/>
          <w:szCs w:val="28"/>
        </w:rPr>
        <w:t>UZMANLIK TEZİ</w:t>
      </w:r>
    </w:p>
    <w:p w:rsidR="006926DC" w:rsidRPr="00CB2647" w:rsidRDefault="006926DC" w:rsidP="00903ED9"/>
    <w:p w:rsidR="006926DC" w:rsidRPr="00CB2647" w:rsidRDefault="006926DC" w:rsidP="00903ED9"/>
    <w:p w:rsidR="006926DC" w:rsidRPr="00CB2647" w:rsidRDefault="006926DC" w:rsidP="00903ED9"/>
    <w:p w:rsidR="006926DC" w:rsidRPr="00CB2647" w:rsidRDefault="006926DC" w:rsidP="00903ED9"/>
    <w:p w:rsidR="006926DC" w:rsidRPr="00CB2647" w:rsidRDefault="009A09B4" w:rsidP="00903ED9">
      <w:pPr>
        <w:autoSpaceDE w:val="0"/>
        <w:autoSpaceDN w:val="0"/>
        <w:adjustRightInd w:val="0"/>
        <w:spacing w:line="240" w:lineRule="auto"/>
        <w:jc w:val="center"/>
        <w:rPr>
          <w:b/>
          <w:bCs/>
          <w:sz w:val="28"/>
          <w:szCs w:val="28"/>
        </w:rPr>
      </w:pPr>
      <w:r w:rsidRPr="00CB2647">
        <w:rPr>
          <w:b/>
          <w:bCs/>
          <w:sz w:val="28"/>
          <w:szCs w:val="28"/>
        </w:rPr>
        <w:t>Dr.Filiz GJEMALAJ</w:t>
      </w:r>
    </w:p>
    <w:p w:rsidR="006926DC" w:rsidRPr="00CB2647" w:rsidRDefault="006926DC" w:rsidP="00903ED9"/>
    <w:p w:rsidR="006926DC" w:rsidRPr="00CB2647" w:rsidRDefault="006926DC" w:rsidP="00903ED9"/>
    <w:p w:rsidR="006926DC" w:rsidRPr="00CB2647" w:rsidRDefault="006926DC" w:rsidP="00903ED9"/>
    <w:p w:rsidR="006926DC" w:rsidRPr="00CB2647" w:rsidRDefault="006926DC" w:rsidP="00903ED9"/>
    <w:p w:rsidR="006926DC" w:rsidRPr="00CB2647" w:rsidRDefault="006926DC" w:rsidP="00903ED9"/>
    <w:p w:rsidR="006926DC" w:rsidRPr="00CB2647" w:rsidRDefault="009A09B4" w:rsidP="00903ED9">
      <w:pPr>
        <w:autoSpaceDE w:val="0"/>
        <w:autoSpaceDN w:val="0"/>
        <w:adjustRightInd w:val="0"/>
        <w:spacing w:line="240" w:lineRule="auto"/>
        <w:jc w:val="center"/>
        <w:rPr>
          <w:b/>
          <w:bCs/>
          <w:sz w:val="28"/>
          <w:szCs w:val="28"/>
        </w:rPr>
      </w:pPr>
      <w:r w:rsidRPr="00CB2647">
        <w:rPr>
          <w:b/>
          <w:bCs/>
          <w:sz w:val="28"/>
          <w:szCs w:val="28"/>
        </w:rPr>
        <w:t>ADANA</w:t>
      </w:r>
    </w:p>
    <w:p w:rsidR="00903ED9" w:rsidRDefault="0094478C" w:rsidP="00903ED9">
      <w:pPr>
        <w:autoSpaceDE w:val="0"/>
        <w:autoSpaceDN w:val="0"/>
        <w:adjustRightInd w:val="0"/>
        <w:spacing w:line="240" w:lineRule="auto"/>
        <w:jc w:val="center"/>
        <w:rPr>
          <w:b/>
          <w:bCs/>
          <w:sz w:val="28"/>
          <w:szCs w:val="28"/>
        </w:rPr>
      </w:pPr>
      <w:r>
        <w:rPr>
          <w:b/>
          <w:bCs/>
          <w:noProof/>
          <w:sz w:val="28"/>
          <w:szCs w:val="28"/>
        </w:rPr>
        <w:pict>
          <v:rect id="Dikdörtgen 23" o:spid="_x0000_s1026" style="position:absolute;left:0;text-align:left;margin-left:195.1pt;margin-top:41.3pt;width:38.35pt;height:35.5pt;z-index:2516828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ToDmgIAAIcFAAAOAAAAZHJzL2Uyb0RvYy54bWysVM1uEzEQviPxDpbvdDchLWnUTRW1KkKq&#10;2ogW9ex47ayF12NsJ5vwYLwAL8bY3k1KqTggcnA8nplvfvabubjctZpshfMKTEVHJyUlwnColVlX&#10;9MvjzbspJT4wUzMNRlR0Lzy9nL99c9HZmRhDA7oWjiCI8bPOVrQJwc6KwvNGtMyfgBUGlRJcywKK&#10;bl3UjnWI3upiXJZnRQeutg648B5fr7OSzhO+lIKHeym9CERXFHML6XTpXMWzmF+w2dox2yjep8H+&#10;IYuWKYNBD1DXLDCyceoPqFZxBx5kOOHQFiCl4iLVgNWMyhfVPDTMilQLNsfbQ5v8/4Pld9ulI6qu&#10;6Pg9JYa1+I2u1df65w8X1sIQfMUWddbP0PLBLl0vebzGenfStfEfKyG71Nb9oa1iFwjHx8n0bDpF&#10;HnBUTU7L8+k4YhZHZ+t8+CigJfFSUYdfLTWTbW99yKaDSYzlQav6RmmdhMgUcaUd2TL8xqv1qAf/&#10;zUqbaGsgemXA+FLEunIl6Rb2WkQ7bT4LiU3B3McpkUTHYxDGuTBhlFUNq0WOfVrib4g+pJUKTYAR&#10;WWL8A3YPMFhmkAE7Z9nbR1eR2HxwLv+WWHY+eKTIYMLBuVUG3GsAGqvqI2f7oUm5NbFLK6j3SBkH&#10;eZa85TcKP9st82HJHA4PjhkuhHCPh9TQVRT6GyUNuO+vvUd75DRqKelwGCvqv22YE5ToTwbZfj6a&#10;TOL0JmFy+mGMgnuuWT3XmE17BciFEa4ey9M12gc9XKWD9gn3xiJGRRUzHGNXlAc3CFchLwncPFws&#10;FskMJ9aycGseLI/gsauRlo+7J+Zsz92ApL+DYXDZ7AWFs230NLDYBJAq8fvY177fOO2JOP1miuvk&#10;uZysjvtz/gsAAP//AwBQSwMEFAAGAAgAAAAhABsGnP/fAAAACgEAAA8AAABkcnMvZG93bnJldi54&#10;bWxMj8tOwzAQRfdI/IM1SOyoQ0LcNsSpEIKKsqMQ1m48JBF+hNhpw98zrGA5ukf3nik3szXsiGPo&#10;vZNwvUiAoWu87l0r4e318WoFLETltDLeoYRvDLCpzs9KVWh/ci943MeWUYkLhZLQxTgUnIemQ6vC&#10;wg/oKPvwo1WRzrHlelQnKreGp0kiuFW9o4VODXjfYfO5n6yEKV/uHub3r21WJ/XyuTb5U9wOUl5e&#10;zHe3wCLO8Q+GX31Sh4qcDn5yOjAjIVsnKaESVqkARsCNEGtgByLzTACvSv7/heoHAAD//wMAUEsB&#10;Ai0AFAAGAAgAAAAhALaDOJL+AAAA4QEAABMAAAAAAAAAAAAAAAAAAAAAAFtDb250ZW50X1R5cGVz&#10;XS54bWxQSwECLQAUAAYACAAAACEAOP0h/9YAAACUAQAACwAAAAAAAAAAAAAAAAAvAQAAX3JlbHMv&#10;LnJlbHNQSwECLQAUAAYACAAAACEAiGE6A5oCAACHBQAADgAAAAAAAAAAAAAAAAAuAgAAZHJzL2Uy&#10;b0RvYy54bWxQSwECLQAUAAYACAAAACEAGwac/98AAAAKAQAADwAAAAAAAAAAAAAAAAD0BAAAZHJz&#10;L2Rvd25yZXYueG1sUEsFBgAAAAAEAAQA8wAAAAAGAAAAAA==&#10;" fillcolor="white [3212]" stroked="f" strokeweight="2pt"/>
        </w:pict>
      </w:r>
      <w:r w:rsidR="009A09B4" w:rsidRPr="00CB2647">
        <w:rPr>
          <w:b/>
          <w:bCs/>
          <w:sz w:val="28"/>
          <w:szCs w:val="28"/>
        </w:rPr>
        <w:t>2015</w:t>
      </w:r>
    </w:p>
    <w:p w:rsidR="00903ED9" w:rsidRPr="00CB2647" w:rsidRDefault="00903ED9" w:rsidP="00903ED9">
      <w:pPr>
        <w:jc w:val="center"/>
        <w:rPr>
          <w:b/>
          <w:bCs/>
        </w:rPr>
      </w:pPr>
      <w:r w:rsidRPr="00CB2647">
        <w:object w:dxaOrig="1865" w:dyaOrig="1531">
          <v:shape id="_x0000_i1026" type="#_x0000_t75" style="width:104.25pt;height:87pt" o:ole="" fillcolor="window">
            <v:imagedata r:id="rId8" o:title=""/>
          </v:shape>
          <o:OLEObject Type="Embed" ProgID="CDraw4" ShapeID="_x0000_i1026" DrawAspect="Content" ObjectID="_1514666272" r:id="rId10">
            <o:FieldCodes>\s \* mergeformat</o:FieldCodes>
          </o:OLEObject>
        </w:object>
      </w:r>
    </w:p>
    <w:p w:rsidR="00903ED9" w:rsidRPr="00CB2647" w:rsidRDefault="00903ED9" w:rsidP="00903ED9">
      <w:pPr>
        <w:spacing w:line="240" w:lineRule="auto"/>
        <w:jc w:val="center"/>
        <w:rPr>
          <w:b/>
          <w:bCs/>
        </w:rPr>
      </w:pPr>
      <w:r w:rsidRPr="00CB2647">
        <w:rPr>
          <w:b/>
          <w:bCs/>
        </w:rPr>
        <w:t>1993</w:t>
      </w:r>
    </w:p>
    <w:p w:rsidR="00903ED9" w:rsidRPr="00CB2647" w:rsidRDefault="00903ED9" w:rsidP="00903ED9">
      <w:pPr>
        <w:tabs>
          <w:tab w:val="clear" w:pos="709"/>
          <w:tab w:val="left" w:pos="720"/>
          <w:tab w:val="center" w:pos="4535"/>
        </w:tabs>
        <w:spacing w:line="240" w:lineRule="auto"/>
        <w:jc w:val="center"/>
        <w:rPr>
          <w:b/>
          <w:bCs/>
          <w:sz w:val="28"/>
          <w:szCs w:val="28"/>
        </w:rPr>
      </w:pPr>
      <w:r w:rsidRPr="00CB2647">
        <w:rPr>
          <w:b/>
          <w:bCs/>
          <w:sz w:val="28"/>
          <w:szCs w:val="28"/>
        </w:rPr>
        <w:t>BAŞKENT ÜNİVERSİTESİ</w:t>
      </w:r>
    </w:p>
    <w:p w:rsidR="00903ED9" w:rsidRPr="00CB2647" w:rsidRDefault="00903ED9" w:rsidP="00903ED9">
      <w:pPr>
        <w:autoSpaceDE w:val="0"/>
        <w:autoSpaceDN w:val="0"/>
        <w:adjustRightInd w:val="0"/>
        <w:spacing w:line="240" w:lineRule="auto"/>
        <w:jc w:val="center"/>
        <w:rPr>
          <w:b/>
          <w:bCs/>
          <w:sz w:val="28"/>
          <w:szCs w:val="28"/>
        </w:rPr>
      </w:pPr>
      <w:r w:rsidRPr="00CB2647">
        <w:rPr>
          <w:b/>
          <w:bCs/>
          <w:sz w:val="28"/>
          <w:szCs w:val="28"/>
        </w:rPr>
        <w:t>TIP FAKÜLTESİ</w:t>
      </w:r>
    </w:p>
    <w:p w:rsidR="00903ED9" w:rsidRPr="00CB2647" w:rsidRDefault="00903ED9" w:rsidP="00903ED9">
      <w:pPr>
        <w:autoSpaceDE w:val="0"/>
        <w:autoSpaceDN w:val="0"/>
        <w:adjustRightInd w:val="0"/>
        <w:spacing w:line="240" w:lineRule="auto"/>
        <w:jc w:val="center"/>
        <w:rPr>
          <w:b/>
          <w:bCs/>
          <w:sz w:val="28"/>
          <w:szCs w:val="28"/>
        </w:rPr>
      </w:pPr>
      <w:r w:rsidRPr="00CB2647">
        <w:rPr>
          <w:b/>
          <w:bCs/>
          <w:sz w:val="28"/>
          <w:szCs w:val="28"/>
        </w:rPr>
        <w:t>Kadın Hastalıkları ve Doğum Anabilim Dalı</w:t>
      </w:r>
    </w:p>
    <w:p w:rsidR="00903ED9" w:rsidRPr="00CB2647" w:rsidRDefault="00903ED9" w:rsidP="00903ED9"/>
    <w:p w:rsidR="00903ED9" w:rsidRDefault="00903ED9" w:rsidP="00903ED9"/>
    <w:p w:rsidR="00903ED9" w:rsidRDefault="00903ED9" w:rsidP="00903ED9"/>
    <w:p w:rsidR="00903ED9" w:rsidRDefault="00903ED9" w:rsidP="00903ED9"/>
    <w:p w:rsidR="00903ED9" w:rsidRPr="00CB2647" w:rsidRDefault="00903ED9" w:rsidP="00903ED9"/>
    <w:p w:rsidR="00903ED9" w:rsidRPr="00CB2647" w:rsidRDefault="00903ED9" w:rsidP="00903ED9"/>
    <w:p w:rsidR="00903ED9" w:rsidRPr="00CB2647" w:rsidRDefault="00903ED9" w:rsidP="00903ED9">
      <w:pPr>
        <w:jc w:val="center"/>
        <w:rPr>
          <w:rFonts w:cs="Times New Roman"/>
          <w:b/>
          <w:sz w:val="28"/>
          <w:szCs w:val="28"/>
        </w:rPr>
      </w:pPr>
      <w:r w:rsidRPr="00CB2647">
        <w:rPr>
          <w:rFonts w:cs="Times New Roman"/>
          <w:b/>
          <w:sz w:val="28"/>
          <w:szCs w:val="28"/>
        </w:rPr>
        <w:t>KÖTÜ OVER REZERVİ OLAN HASTALARDA YUMURTA TOPLAMA İŞLEMİNDE TEK LÜMEN İLE ÇİFT LÜMEN İĞNE KULLANIMININ KARŞILAŞTIRILMASI</w:t>
      </w:r>
    </w:p>
    <w:p w:rsidR="00903ED9" w:rsidRPr="00CB2647" w:rsidRDefault="00903ED9" w:rsidP="00903ED9"/>
    <w:p w:rsidR="00903ED9" w:rsidRPr="00CB2647" w:rsidRDefault="00903ED9" w:rsidP="00903ED9"/>
    <w:p w:rsidR="00903ED9" w:rsidRDefault="00903ED9" w:rsidP="00903ED9"/>
    <w:p w:rsidR="00903ED9" w:rsidRPr="00CB2647" w:rsidRDefault="00903ED9" w:rsidP="00903ED9"/>
    <w:p w:rsidR="00903ED9" w:rsidRPr="00CB2647" w:rsidRDefault="00903ED9" w:rsidP="00903ED9">
      <w:pPr>
        <w:autoSpaceDE w:val="0"/>
        <w:autoSpaceDN w:val="0"/>
        <w:adjustRightInd w:val="0"/>
        <w:spacing w:line="240" w:lineRule="auto"/>
        <w:jc w:val="center"/>
        <w:rPr>
          <w:b/>
          <w:bCs/>
          <w:sz w:val="28"/>
          <w:szCs w:val="28"/>
        </w:rPr>
      </w:pPr>
      <w:r w:rsidRPr="00CB2647">
        <w:rPr>
          <w:b/>
          <w:bCs/>
          <w:sz w:val="28"/>
          <w:szCs w:val="28"/>
        </w:rPr>
        <w:t>UZMANLIK TEZİ</w:t>
      </w:r>
    </w:p>
    <w:p w:rsidR="00903ED9" w:rsidRPr="00CB2647" w:rsidRDefault="00903ED9" w:rsidP="00903ED9"/>
    <w:p w:rsidR="00903ED9" w:rsidRPr="00CB2647" w:rsidRDefault="00903ED9" w:rsidP="00903ED9">
      <w:pPr>
        <w:autoSpaceDE w:val="0"/>
        <w:autoSpaceDN w:val="0"/>
        <w:adjustRightInd w:val="0"/>
        <w:spacing w:line="240" w:lineRule="auto"/>
        <w:jc w:val="center"/>
        <w:rPr>
          <w:b/>
          <w:bCs/>
          <w:sz w:val="28"/>
          <w:szCs w:val="28"/>
        </w:rPr>
      </w:pPr>
      <w:r w:rsidRPr="00CB2647">
        <w:rPr>
          <w:b/>
          <w:bCs/>
          <w:sz w:val="28"/>
          <w:szCs w:val="28"/>
        </w:rPr>
        <w:t>Dr.Filiz GJEMALAJ</w:t>
      </w:r>
    </w:p>
    <w:p w:rsidR="00903ED9" w:rsidRDefault="00903ED9" w:rsidP="00903ED9"/>
    <w:p w:rsidR="00903ED9" w:rsidRPr="00CB2647" w:rsidRDefault="00903ED9" w:rsidP="00903ED9"/>
    <w:p w:rsidR="00903ED9" w:rsidRPr="00CB2647" w:rsidRDefault="00903ED9" w:rsidP="00903ED9">
      <w:pPr>
        <w:autoSpaceDE w:val="0"/>
        <w:autoSpaceDN w:val="0"/>
        <w:adjustRightInd w:val="0"/>
        <w:spacing w:line="240" w:lineRule="auto"/>
        <w:jc w:val="center"/>
        <w:rPr>
          <w:b/>
          <w:bCs/>
          <w:sz w:val="28"/>
          <w:szCs w:val="28"/>
        </w:rPr>
      </w:pPr>
      <w:r>
        <w:rPr>
          <w:b/>
          <w:bCs/>
          <w:sz w:val="28"/>
          <w:szCs w:val="28"/>
        </w:rPr>
        <w:t>Tez Danışmanı: Doç. Dr. Bülent HAYDARDEDEOĞLU</w:t>
      </w:r>
    </w:p>
    <w:p w:rsidR="00903ED9" w:rsidRDefault="00903ED9" w:rsidP="00903ED9"/>
    <w:p w:rsidR="00903ED9" w:rsidRPr="00CB2647" w:rsidRDefault="00903ED9" w:rsidP="00903ED9"/>
    <w:p w:rsidR="00903ED9" w:rsidRDefault="00903ED9" w:rsidP="00903ED9">
      <w:r>
        <w:t>Bu Tez Başkent Üniversitesi araştırma fonu tarafından desteklenmiştir.</w:t>
      </w:r>
    </w:p>
    <w:p w:rsidR="00903ED9" w:rsidRDefault="00903ED9" w:rsidP="00903ED9">
      <w:r>
        <w:t>Proje No: KA 13/161</w:t>
      </w:r>
    </w:p>
    <w:p w:rsidR="00903ED9" w:rsidRPr="00903ED9" w:rsidRDefault="00903ED9" w:rsidP="00903ED9">
      <w:pPr>
        <w:rPr>
          <w:sz w:val="32"/>
        </w:rPr>
      </w:pPr>
    </w:p>
    <w:p w:rsidR="00903ED9" w:rsidRPr="00CB2647" w:rsidRDefault="00903ED9" w:rsidP="00903ED9">
      <w:pPr>
        <w:autoSpaceDE w:val="0"/>
        <w:autoSpaceDN w:val="0"/>
        <w:adjustRightInd w:val="0"/>
        <w:spacing w:line="240" w:lineRule="auto"/>
        <w:jc w:val="center"/>
        <w:rPr>
          <w:b/>
          <w:bCs/>
          <w:sz w:val="28"/>
          <w:szCs w:val="28"/>
        </w:rPr>
      </w:pPr>
      <w:r w:rsidRPr="00CB2647">
        <w:rPr>
          <w:b/>
          <w:bCs/>
          <w:sz w:val="28"/>
          <w:szCs w:val="28"/>
        </w:rPr>
        <w:t>ADANA</w:t>
      </w:r>
    </w:p>
    <w:p w:rsidR="00561DEB" w:rsidRPr="00CB2647" w:rsidRDefault="0094478C" w:rsidP="00903ED9">
      <w:pPr>
        <w:autoSpaceDE w:val="0"/>
        <w:autoSpaceDN w:val="0"/>
        <w:adjustRightInd w:val="0"/>
        <w:spacing w:line="240" w:lineRule="auto"/>
        <w:jc w:val="center"/>
        <w:rPr>
          <w:b/>
          <w:bCs/>
          <w:sz w:val="28"/>
          <w:szCs w:val="28"/>
        </w:rPr>
        <w:sectPr w:rsidR="00561DEB" w:rsidRPr="00CB2647" w:rsidSect="00561DEB">
          <w:footerReference w:type="default" r:id="rId11"/>
          <w:pgSz w:w="11906" w:h="16838"/>
          <w:pgMar w:top="1418" w:right="1418" w:bottom="1418" w:left="1701" w:header="709" w:footer="709" w:gutter="284"/>
          <w:cols w:space="708"/>
          <w:docGrid w:linePitch="360"/>
        </w:sectPr>
      </w:pPr>
      <w:r>
        <w:rPr>
          <w:b/>
          <w:bCs/>
          <w:noProof/>
          <w:sz w:val="28"/>
          <w:szCs w:val="28"/>
        </w:rPr>
        <w:pict>
          <v:rect id="Dikdörtgen 22" o:spid="_x0000_s1027" style="position:absolute;left:0;text-align:left;margin-left:198.05pt;margin-top:39.15pt;width:38.35pt;height:35.5pt;z-index:2516807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XFtnAIAAIcFAAAOAAAAZHJzL2Uyb0RvYy54bWysVM1u2zAMvg/YOwi6r3aCtEuDOkXQosOA&#10;oivWDj0rshQLk0VNUuJkD7YX2IuNkmyn64odhuWgiCL58ccfeXG5bzXZCecVmIpOTkpKhOFQK7Op&#10;6JfHm3dzSnxgpmYajKjoQXh6uXz75qKzCzGFBnQtHEEQ4xedrWgTgl0UheeNaJk/ASsMKiW4lgUU&#10;3aaoHesQvdXFtCzPig5cbR1w4T2+XmclXSZ8KQUPn6T0IhBdUcwtpNOlcx3PYnnBFhvHbKN4nwb7&#10;hyxapgwGHaGuWWBk69QfUK3iDjzIcMKhLUBKxUWqAauZlC+qeWiYFakWbI63Y5v8/4Pld7t7R1Rd&#10;0emUEsNa/EbX6mv984cLG2EIvmKLOusXaPlg710vebzGevfStfEfKyH71NbD2FaxD4Tj42x+Np8j&#10;DziqZqfl+TxhFkdn63z4IKAl8VJRh18tNZPtbn3AgGg6mMRYHrSqb5TWSYhMEVfakR3Db7zeTGLC&#10;6PGblTbR1kD0yur4UsS6ciXpFg5aRDttPguJTcHcpymRRMdjEMa5MGGSVQ2rRY59WuJviD6klXJJ&#10;gBFZYvwRuwcYLDPIgJ2z7O2jq0hsHp3LvyWWnUePFBlMGJ1bZcC9BqCxqj5yth+alFsTu7SG+oCU&#10;cZBnyVt+o/Cz3TIf7pnD4cExw4UQPuEhNXQVhf5GSQPu+2vv0R45jVpKOhzGivpvW+YEJfqjQbaf&#10;T2azOL1JmJ2+n6LgnmvWzzVm214BcmGCq8fydI32QQ9X6aB9wr2xilFRxQzH2BXlwQ3CVchLAjcP&#10;F6tVMsOJtSzcmgfLI3jsaqTl4/6JOdtzNyDp72AYXLZ4QeFsGz0NrLYBpEr8Pva17zdOeyJOv5ni&#10;OnkuJ6vj/lz+AgAA//8DAFBLAwQUAAYACAAAACEAXdDaNeAAAAAKAQAADwAAAGRycy9kb3ducmV2&#10;LnhtbEyPQU/CQBCF7yb+h82YeJMtFCjUbokxSsSbQD0v7dg27s7W7hbqv3c86XEyX977XrYZrRFn&#10;7H3rSMF0EoFAKl3VUq3geHi+W4HwQVOljSNU8I0eNvn1VabTyl3oDc/7UAsOIZ9qBU0IXSqlLxu0&#10;2k9ch8S/D9dbHfjsa1n1+sLh1shZFC2l1S1xQ6M7fGyw/NwPVsGwSHZP4/vXNi6iInktzOIlbDul&#10;bm/Gh3sQAcfwB8OvPqtDzk4nN1DlhVEQr5dTRhUkqxgEA/NkxltOTM7XMcg8k/8n5D8AAAD//wMA&#10;UEsBAi0AFAAGAAgAAAAhALaDOJL+AAAA4QEAABMAAAAAAAAAAAAAAAAAAAAAAFtDb250ZW50X1R5&#10;cGVzXS54bWxQSwECLQAUAAYACAAAACEAOP0h/9YAAACUAQAACwAAAAAAAAAAAAAAAAAvAQAAX3Jl&#10;bHMvLnJlbHNQSwECLQAUAAYACAAAACEAb2VxbZwCAACHBQAADgAAAAAAAAAAAAAAAAAuAgAAZHJz&#10;L2Uyb0RvYy54bWxQSwECLQAUAAYACAAAACEAXdDaNeAAAAAKAQAADwAAAAAAAAAAAAAAAAD2BAAA&#10;ZHJzL2Rvd25yZXYueG1sUEsFBgAAAAAEAAQA8wAAAAMGAAAAAA==&#10;" fillcolor="white [3212]" stroked="f" strokeweight="2pt"/>
        </w:pict>
      </w:r>
      <w:r w:rsidR="00903ED9" w:rsidRPr="00CB2647">
        <w:rPr>
          <w:b/>
          <w:bCs/>
          <w:sz w:val="28"/>
          <w:szCs w:val="28"/>
        </w:rPr>
        <w:t>2015</w:t>
      </w:r>
    </w:p>
    <w:p w:rsidR="00240D85" w:rsidRPr="00CB2647" w:rsidRDefault="00240D85" w:rsidP="00561DEB">
      <w:pPr>
        <w:pStyle w:val="Balk1"/>
        <w:jc w:val="center"/>
      </w:pPr>
      <w:bookmarkStart w:id="1" w:name="_Toc432062013"/>
      <w:r w:rsidRPr="00CB2647">
        <w:lastRenderedPageBreak/>
        <w:t>TEŞEKKÜR</w:t>
      </w:r>
      <w:bookmarkEnd w:id="1"/>
    </w:p>
    <w:p w:rsidR="00240D85" w:rsidRPr="00CB2647" w:rsidRDefault="00561DEB" w:rsidP="00561DEB">
      <w:r w:rsidRPr="00CB2647">
        <w:tab/>
      </w:r>
      <w:r w:rsidR="00240D85" w:rsidRPr="00CB2647">
        <w:t>Kadın Hastalıkları ve Doğum uzmanlık tezimi sunarken,</w:t>
      </w:r>
      <w:r w:rsidR="008F37FB" w:rsidRPr="00CB2647">
        <w:t>uzmanlık</w:t>
      </w:r>
      <w:r w:rsidR="006D4054" w:rsidRPr="00CB2647">
        <w:t xml:space="preserve"> eğitimim süresince önemli yerleri olan en başta tez danışmanım Doç.Dr.Bülent Haydardedeoğlu’</w:t>
      </w:r>
      <w:r w:rsidR="00D64047" w:rsidRPr="00CB2647">
        <w:t>na, Prof. Dr.</w:t>
      </w:r>
      <w:r w:rsidR="008F37FB" w:rsidRPr="00CB2647">
        <w:t xml:space="preserve"> Esra </w:t>
      </w:r>
      <w:r w:rsidR="006D4054" w:rsidRPr="00CB2647">
        <w:t>BulganKılıçdağ’a,Prof.Dr.Ebru Tarım’a,Prof.Dr.Hüsnü Çelik’e, her şekil</w:t>
      </w:r>
      <w:r w:rsidR="00DA7412" w:rsidRPr="00CB2647">
        <w:t xml:space="preserve">de yanımda olduğunu hissettiren ve yardımlarını esirgemeyen </w:t>
      </w:r>
      <w:r w:rsidR="006217AE" w:rsidRPr="00CB2647">
        <w:t>Doç.Dr.</w:t>
      </w:r>
      <w:r w:rsidR="008F37FB" w:rsidRPr="00CB2647">
        <w:t>Ayşe Parlakgümüş’e</w:t>
      </w:r>
      <w:r w:rsidR="006217AE" w:rsidRPr="00CB2647">
        <w:t>ve Uzm.Dr.Cem Yalçınkaya’</w:t>
      </w:r>
      <w:r w:rsidR="008F37FB" w:rsidRPr="00CB2647">
        <w:t>ya</w:t>
      </w:r>
      <w:r w:rsidR="006217AE" w:rsidRPr="00CB2647">
        <w:t>,Yrd.Doç.Dr.Erhan Şimşek’e,Yrd.Doç.Dr.Tayfun Çok’a</w:t>
      </w:r>
      <w:r w:rsidR="006804F3" w:rsidRPr="00CB2647">
        <w:t>,</w:t>
      </w:r>
      <w:r w:rsidR="006217AE" w:rsidRPr="00CB2647">
        <w:t xml:space="preserve"> Uzman doktorlarımızavebuzorlusüreçte beraber</w:t>
      </w:r>
      <w:r w:rsidR="00ED73C0" w:rsidRPr="00CB2647">
        <w:t xml:space="preserve"> çalıştığım asistan </w:t>
      </w:r>
      <w:r w:rsidR="002A3F67" w:rsidRPr="00CB2647">
        <w:t>arkadaşlarım</w:t>
      </w:r>
      <w:r w:rsidR="006804F3" w:rsidRPr="00CB2647">
        <w:t xml:space="preserve"> Dr.Didem Alkaş</w:t>
      </w:r>
      <w:r w:rsidR="00E2780F" w:rsidRPr="00CB2647">
        <w:t xml:space="preserve">’a </w:t>
      </w:r>
      <w:r w:rsidR="00DA7412" w:rsidRPr="00CB2647">
        <w:t xml:space="preserve">ve Dr.Selçuk Yetkinel’e </w:t>
      </w:r>
      <w:r w:rsidR="006804F3" w:rsidRPr="00CB2647">
        <w:t>ve tüm klinik çalışanlarına,bu yolculuk boyun</w:t>
      </w:r>
      <w:r w:rsidR="008F37FB" w:rsidRPr="00CB2647">
        <w:t xml:space="preserve">ca </w:t>
      </w:r>
      <w:r w:rsidR="006804F3" w:rsidRPr="00CB2647">
        <w:t>her zaman sevgi,desteği ve anlayışı ile yanı</w:t>
      </w:r>
      <w:r w:rsidR="00D64047" w:rsidRPr="00CB2647">
        <w:t>mda olan EŞİM</w:t>
      </w:r>
      <w:r w:rsidR="00C20F9A" w:rsidRPr="00CB2647">
        <w:t>,</w:t>
      </w:r>
      <w:r w:rsidR="00DA7412" w:rsidRPr="00CB2647">
        <w:t xml:space="preserve">ANNEM </w:t>
      </w:r>
      <w:r w:rsidR="006804F3" w:rsidRPr="00CB2647">
        <w:t>ve BABAM’a sonsuz teşekkür ederim.</w:t>
      </w:r>
    </w:p>
    <w:p w:rsidR="006804F3" w:rsidRPr="00CB2647" w:rsidRDefault="006804F3" w:rsidP="006217AE">
      <w:pPr>
        <w:autoSpaceDE w:val="0"/>
        <w:autoSpaceDN w:val="0"/>
        <w:adjustRightInd w:val="0"/>
        <w:rPr>
          <w:bCs/>
          <w:sz w:val="28"/>
          <w:szCs w:val="28"/>
        </w:rPr>
      </w:pPr>
    </w:p>
    <w:p w:rsidR="006804F3" w:rsidRPr="00CB2647" w:rsidRDefault="006804F3" w:rsidP="00561DEB">
      <w:pPr>
        <w:jc w:val="right"/>
      </w:pPr>
      <w:r w:rsidRPr="00CB2647">
        <w:t>Dr. Filiz Gjemalaj</w:t>
      </w:r>
    </w:p>
    <w:p w:rsidR="00240D85" w:rsidRPr="00CB2647" w:rsidRDefault="00240D85" w:rsidP="00561DEB"/>
    <w:p w:rsidR="00240D85" w:rsidRPr="00CB2647" w:rsidRDefault="00240D85" w:rsidP="00561DEB"/>
    <w:p w:rsidR="00240D85" w:rsidRPr="00CB2647" w:rsidRDefault="00240D85" w:rsidP="00561DEB"/>
    <w:p w:rsidR="00240D85" w:rsidRPr="00CB2647" w:rsidRDefault="00240D85" w:rsidP="00561DEB"/>
    <w:p w:rsidR="00240D85" w:rsidRPr="00CB2647" w:rsidRDefault="00240D85" w:rsidP="00561DEB"/>
    <w:p w:rsidR="00240D85" w:rsidRPr="00CB2647" w:rsidRDefault="00240D85" w:rsidP="00561DEB"/>
    <w:p w:rsidR="00240D85" w:rsidRPr="00CB2647" w:rsidRDefault="00240D85" w:rsidP="00561DEB"/>
    <w:p w:rsidR="00240D85" w:rsidRPr="00CB2647" w:rsidRDefault="00240D85" w:rsidP="00561DEB"/>
    <w:p w:rsidR="00240D85" w:rsidRPr="00CB2647" w:rsidRDefault="00240D85" w:rsidP="00561DEB"/>
    <w:p w:rsidR="00240D85" w:rsidRPr="00CB2647" w:rsidRDefault="00240D85" w:rsidP="00561DEB"/>
    <w:p w:rsidR="00240D85" w:rsidRPr="00CB2647" w:rsidRDefault="00240D85" w:rsidP="00561DEB"/>
    <w:p w:rsidR="00240D85" w:rsidRPr="00CB2647" w:rsidRDefault="00240D85" w:rsidP="00561DEB"/>
    <w:p w:rsidR="00240D85" w:rsidRPr="00CB2647" w:rsidRDefault="00240D85" w:rsidP="00561DEB"/>
    <w:p w:rsidR="00240D85" w:rsidRPr="00CB2647" w:rsidRDefault="00240D85" w:rsidP="00561DEB"/>
    <w:p w:rsidR="00240D85" w:rsidRPr="00CB2647" w:rsidRDefault="00240D85" w:rsidP="00561DEB"/>
    <w:p w:rsidR="008F37FB" w:rsidRPr="00CB2647" w:rsidRDefault="008F37FB" w:rsidP="00561DEB"/>
    <w:p w:rsidR="00DA7412" w:rsidRPr="00CB2647" w:rsidRDefault="00DA7412" w:rsidP="00561DEB"/>
    <w:p w:rsidR="00561DEB" w:rsidRPr="00CB2647" w:rsidRDefault="00561DEB" w:rsidP="00A57DBC">
      <w:pPr>
        <w:autoSpaceDE w:val="0"/>
        <w:autoSpaceDN w:val="0"/>
        <w:adjustRightInd w:val="0"/>
        <w:spacing w:line="240" w:lineRule="auto"/>
        <w:rPr>
          <w:b/>
          <w:bCs/>
          <w:sz w:val="28"/>
          <w:szCs w:val="28"/>
        </w:rPr>
      </w:pPr>
    </w:p>
    <w:p w:rsidR="00561DEB" w:rsidRPr="00CB2647" w:rsidRDefault="00561DEB" w:rsidP="00A57DBC">
      <w:pPr>
        <w:autoSpaceDE w:val="0"/>
        <w:autoSpaceDN w:val="0"/>
        <w:adjustRightInd w:val="0"/>
        <w:spacing w:line="240" w:lineRule="auto"/>
        <w:rPr>
          <w:b/>
          <w:bCs/>
          <w:sz w:val="28"/>
          <w:szCs w:val="28"/>
        </w:rPr>
      </w:pPr>
    </w:p>
    <w:p w:rsidR="00561DEB" w:rsidRPr="00CB2647" w:rsidRDefault="00561DEB" w:rsidP="00A57DBC">
      <w:pPr>
        <w:autoSpaceDE w:val="0"/>
        <w:autoSpaceDN w:val="0"/>
        <w:adjustRightInd w:val="0"/>
        <w:spacing w:line="240" w:lineRule="auto"/>
        <w:rPr>
          <w:b/>
          <w:bCs/>
          <w:sz w:val="28"/>
          <w:szCs w:val="28"/>
        </w:rPr>
      </w:pPr>
    </w:p>
    <w:p w:rsidR="00561DEB" w:rsidRPr="00CB2647" w:rsidRDefault="00561DEB" w:rsidP="00A57DBC">
      <w:pPr>
        <w:autoSpaceDE w:val="0"/>
        <w:autoSpaceDN w:val="0"/>
        <w:adjustRightInd w:val="0"/>
        <w:spacing w:line="240" w:lineRule="auto"/>
        <w:rPr>
          <w:b/>
          <w:bCs/>
          <w:sz w:val="28"/>
          <w:szCs w:val="28"/>
        </w:rPr>
      </w:pPr>
    </w:p>
    <w:p w:rsidR="007F59A8" w:rsidRPr="00CB2647" w:rsidRDefault="007F59A8" w:rsidP="00561DEB">
      <w:pPr>
        <w:pStyle w:val="Balk1"/>
        <w:jc w:val="center"/>
      </w:pPr>
      <w:bookmarkStart w:id="2" w:name="_Toc432062014"/>
      <w:r w:rsidRPr="00CB2647">
        <w:t>ÖZET</w:t>
      </w:r>
      <w:bookmarkEnd w:id="2"/>
    </w:p>
    <w:p w:rsidR="002A0AB1" w:rsidRPr="00CB2647" w:rsidRDefault="00561DEB" w:rsidP="00561DEB">
      <w:r w:rsidRPr="00CB2647">
        <w:tab/>
      </w:r>
      <w:r w:rsidR="007F59A8" w:rsidRPr="00CB2647">
        <w:t xml:space="preserve">Yumurta toplanması-OPU (Oocyte pick up) tüp bebek işlemlerinde rutin olarak uygulanan bir yöntemdir. OPU yumurta çatlatma iğnesinin (hCG) yapılmasını takiben </w:t>
      </w:r>
      <w:r w:rsidR="001F58E1" w:rsidRPr="00CB2647">
        <w:t>34-38</w:t>
      </w:r>
      <w:r w:rsidR="007F59A8" w:rsidRPr="00CB2647">
        <w:t>. saatte transvajinal ultrasonografi (TVUSG) probuna ilave edilmiş bir iğne yardımı ile vaginal</w:t>
      </w:r>
      <w:r w:rsidR="00C53E6F" w:rsidRPr="00CB2647">
        <w:t xml:space="preserve"> yolla yapılan bir işlemdir. </w:t>
      </w:r>
      <w:r w:rsidR="007F59A8" w:rsidRPr="00CB2647">
        <w:t>Bu işlem sırasında tek lümen veya çift lümen iğne kullanılmaktadır. Tek lümen iğne kullanımında, iğne direk folikül içer</w:t>
      </w:r>
      <w:r w:rsidR="00AD1E72" w:rsidRPr="00CB2647">
        <w:t>isine girip, follikül içeriği aspire edilip çıkılır</w:t>
      </w:r>
      <w:r w:rsidR="007F59A8" w:rsidRPr="00CB2647">
        <w:t>, çift lümen kullanımında iğne folikülden çıkarılmadan folikül içerisinin yıkanması (flush mediumunun iki veya üç kez uygulanıp aspire edilmesi) esasına dayanır. Böylece oositin follikül içeriğinden alınması amaçlanır. Ancak çift lümenli iğne kullanılarak uygulanan OPU yöntemin</w:t>
      </w:r>
      <w:r w:rsidR="00012E54" w:rsidRPr="00CB2647">
        <w:t>in</w:t>
      </w:r>
      <w:r w:rsidR="007F59A8" w:rsidRPr="00CB2647">
        <w:t xml:space="preserve"> rutin kullanımının belirgin bir avantajı gösterilememiştir.</w:t>
      </w:r>
      <w:r w:rsidR="005D0612" w:rsidRPr="00CB2647">
        <w:t xml:space="preserve">Bizde bu noktadan yola çıkarak kötü over rezervli olgularda tek lümen ile çift lümen </w:t>
      </w:r>
      <w:r w:rsidR="002A0AB1" w:rsidRPr="00CB2647">
        <w:t>iğne kullanımını karşılaştırdık.</w:t>
      </w:r>
    </w:p>
    <w:p w:rsidR="00386F9D" w:rsidRPr="00CB2647" w:rsidRDefault="00561DEB" w:rsidP="00561DEB">
      <w:r w:rsidRPr="00CB2647">
        <w:tab/>
      </w:r>
      <w:r w:rsidR="002A0AB1" w:rsidRPr="00CB2647">
        <w:t>Çalışma kötü over rezerv tanılı olan 80 hasta ile uygulandı,bunlardan 40 olgu te</w:t>
      </w:r>
      <w:r w:rsidR="004C3687" w:rsidRPr="00CB2647">
        <w:t xml:space="preserve">k lümen iğne grubuna, </w:t>
      </w:r>
      <w:r w:rsidR="002A0AB1" w:rsidRPr="00CB2647">
        <w:t>diğer 40 o</w:t>
      </w:r>
      <w:r w:rsidR="004C3687" w:rsidRPr="00CB2647">
        <w:t xml:space="preserve">lgu ise çift lümen iğne grubuna </w:t>
      </w:r>
      <w:r w:rsidR="002A0AB1" w:rsidRPr="00CB2647">
        <w:t>dahiledildi.Toplanan oosit sayısı,M2 ve 2PN sayısı,fertilizasyon oranı,embriyo sayısı,transfer edilen embriyo sayısı,klinik gebelik oranı kayıt edildi.</w:t>
      </w:r>
      <w:r w:rsidR="00681B3B" w:rsidRPr="00CB2647">
        <w:t xml:space="preserve">Direk aspirasyon ile follikül yıkama karşılaştırması ile </w:t>
      </w:r>
      <w:r w:rsidR="00116474" w:rsidRPr="00CB2647">
        <w:t>kötü over rezerv</w:t>
      </w:r>
      <w:r w:rsidR="00681B3B" w:rsidRPr="00CB2647">
        <w:t xml:space="preserve"> tanısı almış hastalarda kullanılacak iğne tipi hakkında detaylı bilgi vermesi ve folliküler yıkamanın oosit elde edilmesinde,implantasyon oranında ve klinik gebel</w:t>
      </w:r>
      <w:r w:rsidR="00116474" w:rsidRPr="00CB2647">
        <w:t>i</w:t>
      </w:r>
      <w:r w:rsidR="00681B3B" w:rsidRPr="00CB2647">
        <w:t xml:space="preserve">k oranında </w:t>
      </w:r>
      <w:r w:rsidR="00116474" w:rsidRPr="00CB2647">
        <w:t>avantajlı olup olmadığı araştırılması hedeflenmiştir.</w:t>
      </w:r>
    </w:p>
    <w:p w:rsidR="00CB736D" w:rsidRPr="00CB2647" w:rsidRDefault="00561DEB" w:rsidP="00561DEB">
      <w:r w:rsidRPr="00CB2647">
        <w:tab/>
      </w:r>
      <w:r w:rsidR="004A3E9F" w:rsidRPr="00CB2647">
        <w:t>Sonuç olarak</w:t>
      </w:r>
      <w:r w:rsidR="00386F9D" w:rsidRPr="00CB2647">
        <w:t>,</w:t>
      </w:r>
      <w:r w:rsidR="00CB736D" w:rsidRPr="00CB2647">
        <w:t xml:space="preserve"> prospektif</w:t>
      </w:r>
      <w:r w:rsidR="001F58E1" w:rsidRPr="00CB2647">
        <w:t xml:space="preserve">randomize </w:t>
      </w:r>
      <w:r w:rsidR="004A3E9F" w:rsidRPr="00CB2647">
        <w:t>çalışmamızdakötü over rezervli hastalarda tek lümen iğne kullanımı ile çift lümen iğne kullanımı arasında diğer çalışmalarda olduğu gibi toplanan oosit sayısı ve klinik gebelik oranı açısından fark saptan</w:t>
      </w:r>
      <w:r w:rsidR="00386F9D" w:rsidRPr="00CB2647">
        <w:t xml:space="preserve">mamıştır.Bu sonuçlara ve daha önce yapılan diğer çalışmalar sonucunda özellikle kötü over rezervli hastalarda </w:t>
      </w:r>
      <w:r w:rsidR="004A3E9F" w:rsidRPr="00CB2647">
        <w:t>bundan sonra çift lümen kullanımının tartışma konusu olacağı düşüncesindeyiz</w:t>
      </w:r>
      <w:r w:rsidR="00CB736D" w:rsidRPr="00CB2647">
        <w:t>.</w:t>
      </w:r>
    </w:p>
    <w:p w:rsidR="00A83498" w:rsidRPr="00CB2647" w:rsidRDefault="00A83498" w:rsidP="00561DEB"/>
    <w:p w:rsidR="00CB736D" w:rsidRPr="00CB2647" w:rsidRDefault="00E911F0" w:rsidP="00561DEB">
      <w:r w:rsidRPr="00CB2647">
        <w:rPr>
          <w:b/>
        </w:rPr>
        <w:t>Anahtar kelimeler:</w:t>
      </w:r>
      <w:r w:rsidR="00B21B57" w:rsidRPr="00CB2647">
        <w:t>K</w:t>
      </w:r>
      <w:r w:rsidRPr="00CB2647">
        <w:t>ötü over rezervi</w:t>
      </w:r>
      <w:r w:rsidR="00B37C01">
        <w:t xml:space="preserve">, </w:t>
      </w:r>
      <w:r w:rsidRPr="00CB2647">
        <w:t>OPU</w:t>
      </w:r>
      <w:r w:rsidR="00B37C01">
        <w:t xml:space="preserve">, </w:t>
      </w:r>
      <w:r w:rsidRPr="00CB2647">
        <w:t>tek ve çift lümen iğne</w:t>
      </w:r>
    </w:p>
    <w:p w:rsidR="00CB736D" w:rsidRPr="00CB2647" w:rsidRDefault="00CB736D" w:rsidP="00561DEB"/>
    <w:p w:rsidR="00CB736D" w:rsidRPr="00CB2647" w:rsidRDefault="00CB736D" w:rsidP="00561DEB"/>
    <w:p w:rsidR="00CB736D" w:rsidRPr="00CB2647" w:rsidRDefault="00CB736D" w:rsidP="00561DEB"/>
    <w:p w:rsidR="00CB736D" w:rsidRPr="00CB2647" w:rsidRDefault="00CB736D" w:rsidP="00561DEB"/>
    <w:p w:rsidR="00012E54" w:rsidRPr="00CB2647" w:rsidRDefault="00012E54" w:rsidP="00561DEB">
      <w:pPr>
        <w:pStyle w:val="Balk1"/>
        <w:jc w:val="center"/>
        <w:rPr>
          <w:sz w:val="24"/>
          <w:szCs w:val="24"/>
        </w:rPr>
      </w:pPr>
      <w:bookmarkStart w:id="3" w:name="_Toc432062015"/>
      <w:r w:rsidRPr="00CB2647">
        <w:t>ABSTRACT</w:t>
      </w:r>
      <w:bookmarkEnd w:id="3"/>
    </w:p>
    <w:p w:rsidR="00561DEB" w:rsidRPr="00CB2647" w:rsidRDefault="00561DEB" w:rsidP="00561DEB">
      <w:r w:rsidRPr="00CB2647">
        <w:tab/>
      </w:r>
      <w:r w:rsidR="00012E54" w:rsidRPr="00CB2647">
        <w:t>OPU</w:t>
      </w:r>
      <w:r w:rsidR="00012E54" w:rsidRPr="00CB2647">
        <w:rPr>
          <w:rStyle w:val="hps"/>
          <w:rFonts w:cs="Times New Roman"/>
          <w:szCs w:val="24"/>
        </w:rPr>
        <w:t>(</w:t>
      </w:r>
      <w:r w:rsidR="00012E54" w:rsidRPr="00CB2647">
        <w:t xml:space="preserve">Oocyte </w:t>
      </w:r>
      <w:r w:rsidR="00012E54" w:rsidRPr="00CB2647">
        <w:rPr>
          <w:rStyle w:val="hps"/>
          <w:rFonts w:cs="Times New Roman"/>
          <w:szCs w:val="24"/>
        </w:rPr>
        <w:t>pick up)isa method usedroutinely invitro fertilizationprocess.OPU is a procedure performed vaginally3</w:t>
      </w:r>
      <w:r w:rsidR="004C3687" w:rsidRPr="00CB2647">
        <w:rPr>
          <w:rStyle w:val="hps"/>
          <w:rFonts w:cs="Times New Roman"/>
          <w:szCs w:val="24"/>
        </w:rPr>
        <w:t>4-38</w:t>
      </w:r>
      <w:r w:rsidR="00012E54" w:rsidRPr="00CB2647">
        <w:rPr>
          <w:rStyle w:val="hps"/>
          <w:rFonts w:cs="Times New Roman"/>
          <w:szCs w:val="24"/>
        </w:rPr>
        <w:t>hoursafter the time of hCG administration with the help of needle that is added to the probe of tansvaginal ultrasound (</w:t>
      </w:r>
      <w:r w:rsidR="00012E54" w:rsidRPr="00CB2647">
        <w:t>TVUSG)</w:t>
      </w:r>
      <w:r w:rsidR="00012E54" w:rsidRPr="00CB2647">
        <w:rPr>
          <w:rStyle w:val="hps"/>
          <w:rFonts w:cs="Times New Roman"/>
          <w:szCs w:val="24"/>
        </w:rPr>
        <w:t>.During this process,a singlelumenordoublelumenneedleis used.</w:t>
      </w:r>
      <w:r w:rsidR="00273966" w:rsidRPr="00CB2647">
        <w:rPr>
          <w:rStyle w:val="hps"/>
          <w:rFonts w:cs="Times New Roman"/>
          <w:szCs w:val="24"/>
        </w:rPr>
        <w:t>In the singlelumenneedleuse</w:t>
      </w:r>
      <w:r w:rsidR="00273966" w:rsidRPr="00CB2647">
        <w:t xml:space="preserve">,we </w:t>
      </w:r>
      <w:r w:rsidR="00273966" w:rsidRPr="00CB2647">
        <w:rPr>
          <w:rStyle w:val="hps"/>
          <w:rFonts w:cs="Times New Roman"/>
          <w:szCs w:val="24"/>
        </w:rPr>
        <w:t>enterintofollicle directly</w:t>
      </w:r>
      <w:r w:rsidR="00666C7E" w:rsidRPr="00CB2647">
        <w:t xml:space="preserve"> and do the</w:t>
      </w:r>
      <w:r w:rsidR="00273966" w:rsidRPr="00CB2647">
        <w:rPr>
          <w:rStyle w:val="hps"/>
          <w:rFonts w:cs="Times New Roman"/>
          <w:szCs w:val="24"/>
        </w:rPr>
        <w:t>aspirationof thefollicularcontent</w:t>
      </w:r>
      <w:r w:rsidR="00666C7E" w:rsidRPr="00CB2647">
        <w:rPr>
          <w:rStyle w:val="hps"/>
          <w:rFonts w:cs="Times New Roman"/>
          <w:szCs w:val="24"/>
        </w:rPr>
        <w:t xml:space="preserve">, </w:t>
      </w:r>
      <w:r w:rsidR="00EA6E1E" w:rsidRPr="00CB2647">
        <w:rPr>
          <w:rStyle w:val="hps"/>
          <w:rFonts w:cs="Times New Roman"/>
          <w:szCs w:val="24"/>
        </w:rPr>
        <w:t>while</w:t>
      </w:r>
      <w:r w:rsidR="00666C7E" w:rsidRPr="00CB2647">
        <w:rPr>
          <w:rStyle w:val="hps"/>
          <w:rFonts w:cs="Times New Roman"/>
          <w:szCs w:val="24"/>
        </w:rPr>
        <w:t xml:space="preserve"> the double lumen needle </w:t>
      </w:r>
      <w:r w:rsidR="00EA6E1E" w:rsidRPr="00CB2647">
        <w:rPr>
          <w:rStyle w:val="hps"/>
          <w:rFonts w:cs="Times New Roman"/>
          <w:szCs w:val="24"/>
        </w:rPr>
        <w:t>is based on</w:t>
      </w:r>
      <w:r w:rsidR="00666C7E" w:rsidRPr="00CB2647">
        <w:rPr>
          <w:rStyle w:val="hps"/>
          <w:rFonts w:cs="Times New Roman"/>
          <w:szCs w:val="24"/>
        </w:rPr>
        <w:t xml:space="preserve"> follicular flushing </w:t>
      </w:r>
      <w:r w:rsidR="00EA6E1E" w:rsidRPr="00CB2647">
        <w:rPr>
          <w:rStyle w:val="hps"/>
          <w:rFonts w:cs="Times New Roman"/>
          <w:szCs w:val="24"/>
        </w:rPr>
        <w:t xml:space="preserve">after aspiration </w:t>
      </w:r>
      <w:r w:rsidR="00666C7E" w:rsidRPr="00CB2647">
        <w:rPr>
          <w:rStyle w:val="hps"/>
          <w:rFonts w:cs="Times New Roman"/>
          <w:szCs w:val="24"/>
        </w:rPr>
        <w:t xml:space="preserve">with flush medium without removing the needle from the follicle </w:t>
      </w:r>
      <w:r w:rsidR="00273966" w:rsidRPr="00CB2647">
        <w:rPr>
          <w:rStyle w:val="hps"/>
          <w:rFonts w:cs="Times New Roman"/>
          <w:szCs w:val="24"/>
        </w:rPr>
        <w:t>(</w:t>
      </w:r>
      <w:r w:rsidR="00EA6E1E" w:rsidRPr="00CB2647">
        <w:rPr>
          <w:rStyle w:val="hps"/>
          <w:rFonts w:cs="Times New Roman"/>
          <w:szCs w:val="24"/>
        </w:rPr>
        <w:t xml:space="preserve">the follicle aspiration </w:t>
      </w:r>
      <w:r w:rsidR="00273966" w:rsidRPr="00CB2647">
        <w:t xml:space="preserve">can be </w:t>
      </w:r>
      <w:r w:rsidR="00EA6E1E" w:rsidRPr="00CB2647">
        <w:t xml:space="preserve">applied </w:t>
      </w:r>
      <w:r w:rsidR="00273966" w:rsidRPr="00CB2647">
        <w:rPr>
          <w:rStyle w:val="hps"/>
          <w:rFonts w:cs="Times New Roman"/>
          <w:szCs w:val="24"/>
        </w:rPr>
        <w:t>two or three times</w:t>
      </w:r>
      <w:r w:rsidR="00EA6E1E" w:rsidRPr="00CB2647">
        <w:t xml:space="preserve">with the </w:t>
      </w:r>
      <w:r w:rsidR="00273966" w:rsidRPr="00CB2647">
        <w:rPr>
          <w:rStyle w:val="hps"/>
          <w:rFonts w:cs="Times New Roman"/>
          <w:szCs w:val="24"/>
        </w:rPr>
        <w:t>flushmediums</w:t>
      </w:r>
      <w:r w:rsidR="00273966" w:rsidRPr="00CB2647">
        <w:t>)</w:t>
      </w:r>
      <w:r w:rsidR="00EA6E1E" w:rsidRPr="00CB2647">
        <w:t>.</w:t>
      </w:r>
      <w:r w:rsidR="004F0D25" w:rsidRPr="00CB2647">
        <w:rPr>
          <w:rStyle w:val="hps"/>
          <w:rFonts w:cs="Times New Roman"/>
          <w:szCs w:val="24"/>
        </w:rPr>
        <w:t xml:space="preserve">Thus,it </w:t>
      </w:r>
      <w:r w:rsidR="00587C71" w:rsidRPr="00CB2647">
        <w:rPr>
          <w:rStyle w:val="hps"/>
          <w:rFonts w:cs="Times New Roman"/>
          <w:szCs w:val="24"/>
        </w:rPr>
        <w:t xml:space="preserve">is </w:t>
      </w:r>
      <w:r w:rsidR="004F0D25" w:rsidRPr="00CB2647">
        <w:rPr>
          <w:rStyle w:val="hps"/>
          <w:rFonts w:cs="Times New Roman"/>
          <w:szCs w:val="24"/>
        </w:rPr>
        <w:t>intended to take the whole of thefolliclecontent.However,a routine use of double lumenneedles</w:t>
      </w:r>
      <w:r w:rsidR="00587C71" w:rsidRPr="00CB2647">
        <w:t>did not</w:t>
      </w:r>
      <w:r w:rsidR="004F0D25" w:rsidRPr="00CB2647">
        <w:t xml:space="preserve"> show a significant advantagein OPU</w:t>
      </w:r>
      <w:r w:rsidR="00F10AEA" w:rsidRPr="00CB2647">
        <w:t>.</w:t>
      </w:r>
      <w:r w:rsidR="00F25FC9" w:rsidRPr="00CB2647">
        <w:rPr>
          <w:rStyle w:val="hps"/>
          <w:rFonts w:cs="Times New Roman"/>
          <w:szCs w:val="24"/>
        </w:rPr>
        <w:t>Starting fromthispointin the poorresponder patients wecompared a singlelumen</w:t>
      </w:r>
      <w:r w:rsidR="00F25FC9" w:rsidRPr="00CB2647">
        <w:t xml:space="preserve"> versus </w:t>
      </w:r>
      <w:r w:rsidR="00F25FC9" w:rsidRPr="00CB2647">
        <w:rPr>
          <w:rStyle w:val="hps"/>
          <w:rFonts w:cs="Times New Roman"/>
          <w:szCs w:val="24"/>
        </w:rPr>
        <w:t>doublelumenneedle</w:t>
      </w:r>
      <w:r w:rsidR="00F25FC9" w:rsidRPr="00CB2647">
        <w:t>.</w:t>
      </w:r>
    </w:p>
    <w:p w:rsidR="002A0AB1" w:rsidRPr="00CB2647" w:rsidRDefault="00561DEB" w:rsidP="00561DEB">
      <w:r w:rsidRPr="00CB2647">
        <w:rPr>
          <w:rStyle w:val="hps"/>
          <w:rFonts w:cs="Times New Roman"/>
          <w:szCs w:val="24"/>
        </w:rPr>
        <w:tab/>
      </w:r>
      <w:r w:rsidR="00F25FC9" w:rsidRPr="00CB2647">
        <w:rPr>
          <w:rStyle w:val="hps"/>
          <w:rFonts w:cs="Times New Roman"/>
          <w:szCs w:val="24"/>
        </w:rPr>
        <w:t>This randomize</w:t>
      </w:r>
      <w:r w:rsidR="00587C71" w:rsidRPr="00CB2647">
        <w:rPr>
          <w:rStyle w:val="hps"/>
          <w:rFonts w:cs="Times New Roman"/>
          <w:szCs w:val="24"/>
        </w:rPr>
        <w:t>d</w:t>
      </w:r>
      <w:r w:rsidR="00F25FC9" w:rsidRPr="00CB2647">
        <w:rPr>
          <w:rStyle w:val="hps"/>
          <w:rFonts w:cs="Times New Roman"/>
          <w:szCs w:val="24"/>
        </w:rPr>
        <w:t xml:space="preserve"> controlled trialwas appliedto 80</w:t>
      </w:r>
      <w:r w:rsidR="003655E8" w:rsidRPr="00CB2647">
        <w:t>poor responder</w:t>
      </w:r>
      <w:r w:rsidR="00F25FC9" w:rsidRPr="00CB2647">
        <w:rPr>
          <w:rStyle w:val="hps"/>
          <w:rFonts w:cs="Times New Roman"/>
          <w:szCs w:val="24"/>
        </w:rPr>
        <w:t>patients,40 cases</w:t>
      </w:r>
      <w:r w:rsidR="00F25FC9" w:rsidRPr="00CB2647">
        <w:t xml:space="preserve"> of them were included in </w:t>
      </w:r>
      <w:r w:rsidR="00F25FC9" w:rsidRPr="00CB2647">
        <w:rPr>
          <w:rStyle w:val="hps"/>
          <w:rFonts w:cs="Times New Roman"/>
          <w:szCs w:val="24"/>
        </w:rPr>
        <w:t>a singlelumen needle</w:t>
      </w:r>
      <w:r w:rsidR="00F25FC9" w:rsidRPr="00CB2647">
        <w:t xml:space="preserve"> group </w:t>
      </w:r>
      <w:r w:rsidR="00F25FC9" w:rsidRPr="00CB2647">
        <w:rPr>
          <w:rStyle w:val="hps"/>
          <w:rFonts w:cs="Times New Roman"/>
          <w:szCs w:val="24"/>
        </w:rPr>
        <w:t>while the other40 caseswere included in the</w:t>
      </w:r>
      <w:r w:rsidR="00F25FC9" w:rsidRPr="00CB2647">
        <w:t xml:space="preserve"> double lumen needle </w:t>
      </w:r>
      <w:r w:rsidR="00F25FC9" w:rsidRPr="00CB2647">
        <w:rPr>
          <w:rStyle w:val="hps"/>
          <w:rFonts w:cs="Times New Roman"/>
          <w:szCs w:val="24"/>
        </w:rPr>
        <w:t>group</w:t>
      </w:r>
      <w:r w:rsidR="00A5390D" w:rsidRPr="00CB2647">
        <w:rPr>
          <w:rStyle w:val="hps"/>
          <w:rFonts w:cs="Times New Roman"/>
          <w:szCs w:val="24"/>
        </w:rPr>
        <w:t>.We recorded n</w:t>
      </w:r>
      <w:r w:rsidR="00F25FC9" w:rsidRPr="00CB2647">
        <w:rPr>
          <w:rStyle w:val="hps"/>
          <w:rFonts w:cs="Times New Roman"/>
          <w:szCs w:val="24"/>
        </w:rPr>
        <w:t>umber ofoocytes retrieved</w:t>
      </w:r>
      <w:r w:rsidR="00A5390D" w:rsidRPr="00CB2647">
        <w:t>, M2</w:t>
      </w:r>
      <w:r w:rsidR="00F25FC9" w:rsidRPr="00CB2647">
        <w:t xml:space="preserve"> and </w:t>
      </w:r>
      <w:r w:rsidR="00F25FC9" w:rsidRPr="00CB2647">
        <w:rPr>
          <w:rStyle w:val="hps"/>
          <w:rFonts w:cs="Times New Roman"/>
          <w:szCs w:val="24"/>
        </w:rPr>
        <w:t>the number of2PN</w:t>
      </w:r>
      <w:r w:rsidR="00A5390D" w:rsidRPr="00CB2647">
        <w:t>,</w:t>
      </w:r>
      <w:r w:rsidR="00F25FC9" w:rsidRPr="00CB2647">
        <w:rPr>
          <w:rStyle w:val="hps"/>
          <w:rFonts w:cs="Times New Roman"/>
          <w:szCs w:val="24"/>
        </w:rPr>
        <w:t>fertilizationrate,number of embryos</w:t>
      </w:r>
      <w:r w:rsidR="00F25FC9" w:rsidRPr="00CB2647">
        <w:t xml:space="preserve">, </w:t>
      </w:r>
      <w:r w:rsidR="00F25FC9" w:rsidRPr="00CB2647">
        <w:rPr>
          <w:rStyle w:val="hps"/>
          <w:rFonts w:cs="Times New Roman"/>
          <w:szCs w:val="24"/>
        </w:rPr>
        <w:t>number oftransferred embryos</w:t>
      </w:r>
      <w:r w:rsidR="00F25FC9" w:rsidRPr="00CB2647">
        <w:t xml:space="preserve">, </w:t>
      </w:r>
      <w:r w:rsidR="00F25FC9" w:rsidRPr="00CB2647">
        <w:rPr>
          <w:rStyle w:val="hps"/>
          <w:rFonts w:cs="Times New Roman"/>
          <w:szCs w:val="24"/>
        </w:rPr>
        <w:t>clinical pregnancy rates</w:t>
      </w:r>
      <w:r w:rsidR="00A5390D" w:rsidRPr="00CB2647">
        <w:t>.</w:t>
      </w:r>
      <w:r w:rsidR="00B21B57" w:rsidRPr="00CB2647">
        <w:rPr>
          <w:rStyle w:val="hps"/>
          <w:rFonts w:cs="Times New Roman"/>
          <w:szCs w:val="24"/>
        </w:rPr>
        <w:t xml:space="preserve">With comparison between </w:t>
      </w:r>
      <w:r w:rsidR="003655E8" w:rsidRPr="00CB2647">
        <w:rPr>
          <w:rStyle w:val="hps"/>
          <w:rFonts w:cs="Times New Roman"/>
          <w:szCs w:val="24"/>
        </w:rPr>
        <w:t>direct aspiration and follicular flushing we aimed</w:t>
      </w:r>
      <w:r w:rsidR="00AD4872" w:rsidRPr="00CB2647">
        <w:rPr>
          <w:rStyle w:val="hps"/>
          <w:rFonts w:cs="Times New Roman"/>
          <w:szCs w:val="24"/>
        </w:rPr>
        <w:t xml:space="preserve"> to give detailed information about the needle type to be usedin poor responder patients </w:t>
      </w:r>
      <w:r w:rsidR="0063053B" w:rsidRPr="00CB2647">
        <w:rPr>
          <w:rStyle w:val="hps"/>
          <w:rFonts w:cs="Times New Roman"/>
          <w:szCs w:val="24"/>
        </w:rPr>
        <w:t xml:space="preserve">and to investigate if </w:t>
      </w:r>
      <w:r w:rsidR="00B21B57" w:rsidRPr="00CB2647">
        <w:rPr>
          <w:rStyle w:val="hps"/>
          <w:rFonts w:cs="Times New Roman"/>
          <w:szCs w:val="24"/>
        </w:rPr>
        <w:t>follicle flushing</w:t>
      </w:r>
      <w:r w:rsidR="00117628" w:rsidRPr="00CB2647">
        <w:rPr>
          <w:rStyle w:val="hps"/>
          <w:rFonts w:cs="Times New Roman"/>
          <w:szCs w:val="24"/>
        </w:rPr>
        <w:t>is advanta</w:t>
      </w:r>
      <w:r w:rsidR="0063053B" w:rsidRPr="00CB2647">
        <w:rPr>
          <w:rStyle w:val="hps"/>
          <w:rFonts w:cs="Times New Roman"/>
          <w:szCs w:val="24"/>
        </w:rPr>
        <w:t>g</w:t>
      </w:r>
      <w:r w:rsidR="00117628" w:rsidRPr="00CB2647">
        <w:rPr>
          <w:rStyle w:val="hps"/>
          <w:rFonts w:cs="Times New Roman"/>
          <w:szCs w:val="24"/>
        </w:rPr>
        <w:t>e</w:t>
      </w:r>
      <w:r w:rsidR="0063053B" w:rsidRPr="00CB2647">
        <w:rPr>
          <w:rStyle w:val="hps"/>
          <w:rFonts w:cs="Times New Roman"/>
          <w:szCs w:val="24"/>
        </w:rPr>
        <w:t xml:space="preserve">ous </w:t>
      </w:r>
      <w:r w:rsidR="00A02BA8" w:rsidRPr="00CB2647">
        <w:rPr>
          <w:rStyle w:val="hps"/>
          <w:rFonts w:cs="Times New Roman"/>
          <w:szCs w:val="24"/>
        </w:rPr>
        <w:t>for collection</w:t>
      </w:r>
      <w:r w:rsidR="00117628" w:rsidRPr="00CB2647">
        <w:rPr>
          <w:rStyle w:val="hps"/>
          <w:rFonts w:cs="Times New Roman"/>
          <w:szCs w:val="24"/>
        </w:rPr>
        <w:t xml:space="preserve"> of oocytes</w:t>
      </w:r>
      <w:r w:rsidR="0063053B" w:rsidRPr="00CB2647">
        <w:rPr>
          <w:rStyle w:val="hps"/>
          <w:rFonts w:cs="Times New Roman"/>
          <w:szCs w:val="24"/>
        </w:rPr>
        <w:t>,</w:t>
      </w:r>
      <w:r w:rsidR="00EC59AB" w:rsidRPr="00CB2647">
        <w:rPr>
          <w:rStyle w:val="hps"/>
          <w:rFonts w:cs="Times New Roman"/>
          <w:szCs w:val="24"/>
        </w:rPr>
        <w:t xml:space="preserve"> implantationrateandclinicalpregnancy rate</w:t>
      </w:r>
      <w:r w:rsidR="0063053B" w:rsidRPr="00CB2647">
        <w:t>.</w:t>
      </w:r>
    </w:p>
    <w:p w:rsidR="00CB736D" w:rsidRPr="00CB2647" w:rsidRDefault="00561DEB" w:rsidP="00561DEB">
      <w:r w:rsidRPr="00CB2647">
        <w:rPr>
          <w:rStyle w:val="hps"/>
          <w:rFonts w:cs="Times New Roman"/>
          <w:color w:val="222222"/>
          <w:szCs w:val="24"/>
        </w:rPr>
        <w:tab/>
      </w:r>
      <w:r w:rsidR="00CE468F" w:rsidRPr="00CB2647">
        <w:rPr>
          <w:rStyle w:val="hps"/>
          <w:rFonts w:cs="Times New Roman"/>
          <w:szCs w:val="24"/>
        </w:rPr>
        <w:t>In conclusion o</w:t>
      </w:r>
      <w:r w:rsidR="00CE468F" w:rsidRPr="00CB2647">
        <w:t xml:space="preserve">ur study, similar with other trials, showed no benefit between single lumen and double lumen needles in terms of collected oocytes </w:t>
      </w:r>
      <w:r w:rsidR="00CE468F" w:rsidRPr="00CB2647">
        <w:rPr>
          <w:rStyle w:val="hps"/>
          <w:rFonts w:cs="Times New Roman"/>
          <w:szCs w:val="24"/>
        </w:rPr>
        <w:t>andclinical pregnancy rates at poor responder patients</w:t>
      </w:r>
      <w:r w:rsidR="00CE468F" w:rsidRPr="00CB2647">
        <w:t xml:space="preserve">. When our results and the previous </w:t>
      </w:r>
      <w:r w:rsidR="004C3687" w:rsidRPr="00CB2647">
        <w:t xml:space="preserve">results </w:t>
      </w:r>
      <w:r w:rsidR="00CE468F" w:rsidRPr="00CB2647">
        <w:t xml:space="preserve">are considered, we suggest that follicular flushing can be discussed especially in poor responder patients.    </w:t>
      </w:r>
    </w:p>
    <w:p w:rsidR="00561DEB" w:rsidRPr="00CB2647" w:rsidRDefault="00561DEB" w:rsidP="00561DEB"/>
    <w:p w:rsidR="00CE468F" w:rsidRPr="00CB2647" w:rsidRDefault="00CB736D" w:rsidP="00561DEB">
      <w:r w:rsidRPr="00CB2647">
        <w:rPr>
          <w:b/>
        </w:rPr>
        <w:t>Key Words</w:t>
      </w:r>
      <w:r w:rsidR="00A02BA8" w:rsidRPr="00CB2647">
        <w:rPr>
          <w:b/>
        </w:rPr>
        <w:t>:</w:t>
      </w:r>
      <w:r w:rsidR="00B21B57" w:rsidRPr="00CB2647">
        <w:t xml:space="preserve"> P</w:t>
      </w:r>
      <w:r w:rsidR="00A02BA8" w:rsidRPr="00CB2647">
        <w:t>oor ovarian reserve</w:t>
      </w:r>
      <w:r w:rsidR="00B37C01">
        <w:t xml:space="preserve">, </w:t>
      </w:r>
      <w:r w:rsidR="00A02BA8" w:rsidRPr="00CB2647">
        <w:t>OPU</w:t>
      </w:r>
      <w:r w:rsidR="00B37C01">
        <w:t xml:space="preserve">, </w:t>
      </w:r>
      <w:r w:rsidR="00A02BA8" w:rsidRPr="00CB2647">
        <w:t>single and double</w:t>
      </w:r>
      <w:r w:rsidRPr="00CB2647">
        <w:t xml:space="preserve"> lumen needle</w:t>
      </w:r>
    </w:p>
    <w:p w:rsidR="00A02BA8" w:rsidRPr="00CB2647" w:rsidRDefault="00A02BA8" w:rsidP="00561DEB"/>
    <w:p w:rsidR="00A02BA8" w:rsidRPr="00CB2647" w:rsidRDefault="00A02BA8" w:rsidP="00561DEB"/>
    <w:p w:rsidR="00A02BA8" w:rsidRPr="00CB2647" w:rsidRDefault="00A02BA8" w:rsidP="00561DEB"/>
    <w:p w:rsidR="00394A27" w:rsidRDefault="00394A27" w:rsidP="00394A27">
      <w:pPr>
        <w:tabs>
          <w:tab w:val="clear" w:pos="709"/>
        </w:tabs>
        <w:spacing w:after="200" w:line="276" w:lineRule="auto"/>
        <w:jc w:val="left"/>
      </w:pPr>
      <w:bookmarkStart w:id="4" w:name="_Toc432062016"/>
    </w:p>
    <w:p w:rsidR="000E17F3" w:rsidRPr="00CB2647" w:rsidRDefault="00394A27" w:rsidP="00394A27">
      <w:pPr>
        <w:tabs>
          <w:tab w:val="clear" w:pos="709"/>
        </w:tabs>
        <w:spacing w:after="200" w:line="276" w:lineRule="auto"/>
        <w:jc w:val="left"/>
      </w:pPr>
      <w:r>
        <w:lastRenderedPageBreak/>
        <w:t xml:space="preserve">                                                          </w:t>
      </w:r>
      <w:r w:rsidR="000E17F3" w:rsidRPr="00CB2647">
        <w:t>İÇİNDEKİLER</w:t>
      </w:r>
      <w:bookmarkEnd w:id="4"/>
    </w:p>
    <w:p w:rsidR="000E17F3" w:rsidRPr="00CB2647" w:rsidRDefault="000E17F3" w:rsidP="00561DEB">
      <w:pPr>
        <w:jc w:val="right"/>
        <w:rPr>
          <w:b/>
          <w:u w:val="single"/>
        </w:rPr>
      </w:pPr>
      <w:r w:rsidRPr="00CB2647">
        <w:rPr>
          <w:b/>
          <w:u w:val="single"/>
        </w:rPr>
        <w:t>Sayfa No:</w:t>
      </w:r>
    </w:p>
    <w:p w:rsidR="007A105C" w:rsidRDefault="0094478C">
      <w:pPr>
        <w:pStyle w:val="T1"/>
        <w:tabs>
          <w:tab w:val="right" w:leader="dot" w:pos="8493"/>
        </w:tabs>
        <w:rPr>
          <w:rFonts w:asciiTheme="minorHAnsi" w:hAnsiTheme="minorHAnsi"/>
          <w:noProof/>
          <w:sz w:val="22"/>
        </w:rPr>
      </w:pPr>
      <w:r>
        <w:fldChar w:fldCharType="begin"/>
      </w:r>
      <w:r w:rsidR="00B03215">
        <w:instrText xml:space="preserve"> TOC \o "1-5" \h \z \u </w:instrText>
      </w:r>
      <w:r>
        <w:fldChar w:fldCharType="separate"/>
      </w:r>
      <w:hyperlink w:anchor="_Toc432062013" w:history="1">
        <w:r w:rsidR="007A105C" w:rsidRPr="00586832">
          <w:rPr>
            <w:rStyle w:val="Kpr"/>
            <w:noProof/>
          </w:rPr>
          <w:t>TEŞEKKÜR</w:t>
        </w:r>
        <w:r w:rsidR="007A105C">
          <w:rPr>
            <w:noProof/>
            <w:webHidden/>
          </w:rPr>
          <w:tab/>
        </w:r>
        <w:r>
          <w:rPr>
            <w:noProof/>
            <w:webHidden/>
          </w:rPr>
          <w:fldChar w:fldCharType="begin"/>
        </w:r>
        <w:r w:rsidR="007A105C">
          <w:rPr>
            <w:noProof/>
            <w:webHidden/>
          </w:rPr>
          <w:instrText xml:space="preserve"> PAGEREF _Toc432062013 \h </w:instrText>
        </w:r>
        <w:r>
          <w:rPr>
            <w:noProof/>
            <w:webHidden/>
          </w:rPr>
        </w:r>
        <w:r>
          <w:rPr>
            <w:noProof/>
            <w:webHidden/>
          </w:rPr>
          <w:fldChar w:fldCharType="separate"/>
        </w:r>
        <w:r w:rsidR="0066390A">
          <w:rPr>
            <w:noProof/>
            <w:webHidden/>
          </w:rPr>
          <w:t>i</w:t>
        </w:r>
        <w:r>
          <w:rPr>
            <w:noProof/>
            <w:webHidden/>
          </w:rPr>
          <w:fldChar w:fldCharType="end"/>
        </w:r>
      </w:hyperlink>
    </w:p>
    <w:p w:rsidR="007A105C" w:rsidRDefault="0094478C">
      <w:pPr>
        <w:pStyle w:val="T1"/>
        <w:tabs>
          <w:tab w:val="right" w:leader="dot" w:pos="8493"/>
        </w:tabs>
        <w:rPr>
          <w:rFonts w:asciiTheme="minorHAnsi" w:hAnsiTheme="minorHAnsi"/>
          <w:noProof/>
          <w:sz w:val="22"/>
        </w:rPr>
      </w:pPr>
      <w:hyperlink w:anchor="_Toc432062014" w:history="1">
        <w:r w:rsidR="007A105C" w:rsidRPr="00586832">
          <w:rPr>
            <w:rStyle w:val="Kpr"/>
            <w:noProof/>
          </w:rPr>
          <w:t>ÖZET</w:t>
        </w:r>
        <w:r w:rsidR="007A105C">
          <w:rPr>
            <w:noProof/>
            <w:webHidden/>
          </w:rPr>
          <w:tab/>
        </w:r>
        <w:r>
          <w:rPr>
            <w:noProof/>
            <w:webHidden/>
          </w:rPr>
          <w:fldChar w:fldCharType="begin"/>
        </w:r>
        <w:r w:rsidR="007A105C">
          <w:rPr>
            <w:noProof/>
            <w:webHidden/>
          </w:rPr>
          <w:instrText xml:space="preserve"> PAGEREF _Toc432062014 \h </w:instrText>
        </w:r>
        <w:r>
          <w:rPr>
            <w:noProof/>
            <w:webHidden/>
          </w:rPr>
        </w:r>
        <w:r>
          <w:rPr>
            <w:noProof/>
            <w:webHidden/>
          </w:rPr>
          <w:fldChar w:fldCharType="separate"/>
        </w:r>
        <w:r w:rsidR="0066390A">
          <w:rPr>
            <w:noProof/>
            <w:webHidden/>
          </w:rPr>
          <w:t>ii</w:t>
        </w:r>
        <w:r>
          <w:rPr>
            <w:noProof/>
            <w:webHidden/>
          </w:rPr>
          <w:fldChar w:fldCharType="end"/>
        </w:r>
      </w:hyperlink>
    </w:p>
    <w:p w:rsidR="007A105C" w:rsidRDefault="0094478C">
      <w:pPr>
        <w:pStyle w:val="T1"/>
        <w:tabs>
          <w:tab w:val="right" w:leader="dot" w:pos="8493"/>
        </w:tabs>
        <w:rPr>
          <w:rFonts w:asciiTheme="minorHAnsi" w:hAnsiTheme="minorHAnsi"/>
          <w:noProof/>
          <w:sz w:val="22"/>
        </w:rPr>
      </w:pPr>
      <w:hyperlink w:anchor="_Toc432062015" w:history="1">
        <w:r w:rsidR="007A105C" w:rsidRPr="00586832">
          <w:rPr>
            <w:rStyle w:val="Kpr"/>
            <w:noProof/>
          </w:rPr>
          <w:t>ABSTRACT</w:t>
        </w:r>
        <w:r w:rsidR="007A105C">
          <w:rPr>
            <w:noProof/>
            <w:webHidden/>
          </w:rPr>
          <w:tab/>
        </w:r>
        <w:r>
          <w:rPr>
            <w:noProof/>
            <w:webHidden/>
          </w:rPr>
          <w:fldChar w:fldCharType="begin"/>
        </w:r>
        <w:r w:rsidR="007A105C">
          <w:rPr>
            <w:noProof/>
            <w:webHidden/>
          </w:rPr>
          <w:instrText xml:space="preserve"> PAGEREF _Toc432062015 \h </w:instrText>
        </w:r>
        <w:r>
          <w:rPr>
            <w:noProof/>
            <w:webHidden/>
          </w:rPr>
        </w:r>
        <w:r>
          <w:rPr>
            <w:noProof/>
            <w:webHidden/>
          </w:rPr>
          <w:fldChar w:fldCharType="separate"/>
        </w:r>
        <w:r w:rsidR="0066390A">
          <w:rPr>
            <w:noProof/>
            <w:webHidden/>
          </w:rPr>
          <w:t>iii</w:t>
        </w:r>
        <w:r>
          <w:rPr>
            <w:noProof/>
            <w:webHidden/>
          </w:rPr>
          <w:fldChar w:fldCharType="end"/>
        </w:r>
      </w:hyperlink>
    </w:p>
    <w:p w:rsidR="007A105C" w:rsidRDefault="0094478C">
      <w:pPr>
        <w:pStyle w:val="T1"/>
        <w:tabs>
          <w:tab w:val="right" w:leader="dot" w:pos="8493"/>
        </w:tabs>
        <w:rPr>
          <w:rFonts w:asciiTheme="minorHAnsi" w:hAnsiTheme="minorHAnsi"/>
          <w:noProof/>
          <w:sz w:val="22"/>
        </w:rPr>
      </w:pPr>
      <w:hyperlink w:anchor="_Toc432062016" w:history="1">
        <w:r w:rsidR="007A105C" w:rsidRPr="00586832">
          <w:rPr>
            <w:rStyle w:val="Kpr"/>
            <w:noProof/>
          </w:rPr>
          <w:t>İÇİNDEKİLER</w:t>
        </w:r>
        <w:r w:rsidR="007A105C">
          <w:rPr>
            <w:noProof/>
            <w:webHidden/>
          </w:rPr>
          <w:tab/>
        </w:r>
        <w:r>
          <w:rPr>
            <w:noProof/>
            <w:webHidden/>
          </w:rPr>
          <w:fldChar w:fldCharType="begin"/>
        </w:r>
        <w:r w:rsidR="007A105C">
          <w:rPr>
            <w:noProof/>
            <w:webHidden/>
          </w:rPr>
          <w:instrText xml:space="preserve"> PAGEREF _Toc432062016 \h </w:instrText>
        </w:r>
        <w:r>
          <w:rPr>
            <w:noProof/>
            <w:webHidden/>
          </w:rPr>
        </w:r>
        <w:r>
          <w:rPr>
            <w:noProof/>
            <w:webHidden/>
          </w:rPr>
          <w:fldChar w:fldCharType="separate"/>
        </w:r>
        <w:r w:rsidR="0066390A">
          <w:rPr>
            <w:noProof/>
            <w:webHidden/>
          </w:rPr>
          <w:t>iv</w:t>
        </w:r>
        <w:r>
          <w:rPr>
            <w:noProof/>
            <w:webHidden/>
          </w:rPr>
          <w:fldChar w:fldCharType="end"/>
        </w:r>
      </w:hyperlink>
    </w:p>
    <w:p w:rsidR="007A105C" w:rsidRDefault="0094478C">
      <w:pPr>
        <w:pStyle w:val="T1"/>
        <w:tabs>
          <w:tab w:val="right" w:leader="dot" w:pos="8493"/>
        </w:tabs>
        <w:rPr>
          <w:rFonts w:asciiTheme="minorHAnsi" w:hAnsiTheme="minorHAnsi"/>
          <w:noProof/>
          <w:sz w:val="22"/>
        </w:rPr>
      </w:pPr>
      <w:hyperlink w:anchor="_Toc432062017" w:history="1">
        <w:r w:rsidR="007A105C" w:rsidRPr="00586832">
          <w:rPr>
            <w:rStyle w:val="Kpr"/>
            <w:noProof/>
          </w:rPr>
          <w:t>TABLOLAR DİZİNİ</w:t>
        </w:r>
        <w:r w:rsidR="007A105C">
          <w:rPr>
            <w:noProof/>
            <w:webHidden/>
          </w:rPr>
          <w:tab/>
        </w:r>
        <w:r>
          <w:rPr>
            <w:noProof/>
            <w:webHidden/>
          </w:rPr>
          <w:fldChar w:fldCharType="begin"/>
        </w:r>
        <w:r w:rsidR="007A105C">
          <w:rPr>
            <w:noProof/>
            <w:webHidden/>
          </w:rPr>
          <w:instrText xml:space="preserve"> PAGEREF _Toc432062017 \h </w:instrText>
        </w:r>
        <w:r>
          <w:rPr>
            <w:noProof/>
            <w:webHidden/>
          </w:rPr>
        </w:r>
        <w:r>
          <w:rPr>
            <w:noProof/>
            <w:webHidden/>
          </w:rPr>
          <w:fldChar w:fldCharType="separate"/>
        </w:r>
        <w:r w:rsidR="0066390A">
          <w:rPr>
            <w:noProof/>
            <w:webHidden/>
          </w:rPr>
          <w:t>vi</w:t>
        </w:r>
        <w:r>
          <w:rPr>
            <w:noProof/>
            <w:webHidden/>
          </w:rPr>
          <w:fldChar w:fldCharType="end"/>
        </w:r>
      </w:hyperlink>
    </w:p>
    <w:p w:rsidR="007A105C" w:rsidRDefault="0094478C">
      <w:pPr>
        <w:pStyle w:val="T1"/>
        <w:tabs>
          <w:tab w:val="right" w:leader="dot" w:pos="8493"/>
        </w:tabs>
        <w:rPr>
          <w:rFonts w:asciiTheme="minorHAnsi" w:hAnsiTheme="minorHAnsi"/>
          <w:noProof/>
          <w:sz w:val="22"/>
        </w:rPr>
      </w:pPr>
      <w:hyperlink w:anchor="_Toc432062018" w:history="1">
        <w:r w:rsidR="007A105C" w:rsidRPr="00586832">
          <w:rPr>
            <w:rStyle w:val="Kpr"/>
            <w:noProof/>
          </w:rPr>
          <w:t>ŞEKİLLER DİZİNİ</w:t>
        </w:r>
        <w:r w:rsidR="007A105C">
          <w:rPr>
            <w:noProof/>
            <w:webHidden/>
          </w:rPr>
          <w:tab/>
        </w:r>
        <w:r>
          <w:rPr>
            <w:noProof/>
            <w:webHidden/>
          </w:rPr>
          <w:fldChar w:fldCharType="begin"/>
        </w:r>
        <w:r w:rsidR="007A105C">
          <w:rPr>
            <w:noProof/>
            <w:webHidden/>
          </w:rPr>
          <w:instrText xml:space="preserve"> PAGEREF _Toc432062018 \h </w:instrText>
        </w:r>
        <w:r>
          <w:rPr>
            <w:noProof/>
            <w:webHidden/>
          </w:rPr>
        </w:r>
        <w:r>
          <w:rPr>
            <w:noProof/>
            <w:webHidden/>
          </w:rPr>
          <w:fldChar w:fldCharType="separate"/>
        </w:r>
        <w:r w:rsidR="0066390A">
          <w:rPr>
            <w:noProof/>
            <w:webHidden/>
          </w:rPr>
          <w:t>vii</w:t>
        </w:r>
        <w:r>
          <w:rPr>
            <w:noProof/>
            <w:webHidden/>
          </w:rPr>
          <w:fldChar w:fldCharType="end"/>
        </w:r>
      </w:hyperlink>
    </w:p>
    <w:p w:rsidR="007A105C" w:rsidRDefault="0094478C">
      <w:pPr>
        <w:pStyle w:val="T1"/>
        <w:tabs>
          <w:tab w:val="right" w:leader="dot" w:pos="8493"/>
        </w:tabs>
        <w:rPr>
          <w:rFonts w:asciiTheme="minorHAnsi" w:hAnsiTheme="minorHAnsi"/>
          <w:noProof/>
          <w:sz w:val="22"/>
        </w:rPr>
      </w:pPr>
      <w:hyperlink w:anchor="_Toc432062019" w:history="1">
        <w:r w:rsidR="007A105C" w:rsidRPr="00586832">
          <w:rPr>
            <w:rStyle w:val="Kpr"/>
            <w:noProof/>
          </w:rPr>
          <w:t>RESİMLER DİZİNİ</w:t>
        </w:r>
        <w:r w:rsidR="007A105C">
          <w:rPr>
            <w:noProof/>
            <w:webHidden/>
          </w:rPr>
          <w:tab/>
        </w:r>
        <w:r>
          <w:rPr>
            <w:noProof/>
            <w:webHidden/>
          </w:rPr>
          <w:fldChar w:fldCharType="begin"/>
        </w:r>
        <w:r w:rsidR="007A105C">
          <w:rPr>
            <w:noProof/>
            <w:webHidden/>
          </w:rPr>
          <w:instrText xml:space="preserve"> PAGEREF _Toc432062019 \h </w:instrText>
        </w:r>
        <w:r>
          <w:rPr>
            <w:noProof/>
            <w:webHidden/>
          </w:rPr>
        </w:r>
        <w:r>
          <w:rPr>
            <w:noProof/>
            <w:webHidden/>
          </w:rPr>
          <w:fldChar w:fldCharType="separate"/>
        </w:r>
        <w:r w:rsidR="0066390A">
          <w:rPr>
            <w:noProof/>
            <w:webHidden/>
          </w:rPr>
          <w:t>viii</w:t>
        </w:r>
        <w:r>
          <w:rPr>
            <w:noProof/>
            <w:webHidden/>
          </w:rPr>
          <w:fldChar w:fldCharType="end"/>
        </w:r>
      </w:hyperlink>
    </w:p>
    <w:p w:rsidR="007A105C" w:rsidRDefault="0094478C">
      <w:pPr>
        <w:pStyle w:val="T1"/>
        <w:tabs>
          <w:tab w:val="right" w:leader="dot" w:pos="8493"/>
        </w:tabs>
        <w:rPr>
          <w:rFonts w:asciiTheme="minorHAnsi" w:hAnsiTheme="minorHAnsi"/>
          <w:noProof/>
          <w:sz w:val="22"/>
        </w:rPr>
      </w:pPr>
      <w:hyperlink w:anchor="_Toc432062020" w:history="1">
        <w:r w:rsidR="007A105C" w:rsidRPr="00586832">
          <w:rPr>
            <w:rStyle w:val="Kpr"/>
            <w:noProof/>
          </w:rPr>
          <w:t>KISALTMALAR DİZİNİ</w:t>
        </w:r>
        <w:r w:rsidR="007A105C">
          <w:rPr>
            <w:noProof/>
            <w:webHidden/>
          </w:rPr>
          <w:tab/>
        </w:r>
        <w:r>
          <w:rPr>
            <w:noProof/>
            <w:webHidden/>
          </w:rPr>
          <w:fldChar w:fldCharType="begin"/>
        </w:r>
        <w:r w:rsidR="007A105C">
          <w:rPr>
            <w:noProof/>
            <w:webHidden/>
          </w:rPr>
          <w:instrText xml:space="preserve"> PAGEREF _Toc432062020 \h </w:instrText>
        </w:r>
        <w:r>
          <w:rPr>
            <w:noProof/>
            <w:webHidden/>
          </w:rPr>
        </w:r>
        <w:r>
          <w:rPr>
            <w:noProof/>
            <w:webHidden/>
          </w:rPr>
          <w:fldChar w:fldCharType="separate"/>
        </w:r>
        <w:r w:rsidR="0066390A">
          <w:rPr>
            <w:noProof/>
            <w:webHidden/>
          </w:rPr>
          <w:t>ix</w:t>
        </w:r>
        <w:r>
          <w:rPr>
            <w:noProof/>
            <w:webHidden/>
          </w:rPr>
          <w:fldChar w:fldCharType="end"/>
        </w:r>
      </w:hyperlink>
    </w:p>
    <w:p w:rsidR="007A105C" w:rsidRDefault="0094478C">
      <w:pPr>
        <w:pStyle w:val="T1"/>
        <w:tabs>
          <w:tab w:val="right" w:leader="dot" w:pos="8493"/>
        </w:tabs>
        <w:rPr>
          <w:rFonts w:asciiTheme="minorHAnsi" w:hAnsiTheme="minorHAnsi"/>
          <w:noProof/>
          <w:sz w:val="22"/>
        </w:rPr>
      </w:pPr>
      <w:hyperlink w:anchor="_Toc432062021" w:history="1">
        <w:r w:rsidR="007A105C" w:rsidRPr="00586832">
          <w:rPr>
            <w:rStyle w:val="Kpr"/>
            <w:noProof/>
          </w:rPr>
          <w:t>1. GİRİŞ ve AMAÇ</w:t>
        </w:r>
        <w:r w:rsidR="007A105C">
          <w:rPr>
            <w:noProof/>
            <w:webHidden/>
          </w:rPr>
          <w:tab/>
        </w:r>
        <w:r>
          <w:rPr>
            <w:noProof/>
            <w:webHidden/>
          </w:rPr>
          <w:fldChar w:fldCharType="begin"/>
        </w:r>
        <w:r w:rsidR="007A105C">
          <w:rPr>
            <w:noProof/>
            <w:webHidden/>
          </w:rPr>
          <w:instrText xml:space="preserve"> PAGEREF _Toc432062021 \h </w:instrText>
        </w:r>
        <w:r>
          <w:rPr>
            <w:noProof/>
            <w:webHidden/>
          </w:rPr>
        </w:r>
        <w:r>
          <w:rPr>
            <w:noProof/>
            <w:webHidden/>
          </w:rPr>
          <w:fldChar w:fldCharType="separate"/>
        </w:r>
        <w:r w:rsidR="0066390A">
          <w:rPr>
            <w:noProof/>
            <w:webHidden/>
          </w:rPr>
          <w:t>1</w:t>
        </w:r>
        <w:r>
          <w:rPr>
            <w:noProof/>
            <w:webHidden/>
          </w:rPr>
          <w:fldChar w:fldCharType="end"/>
        </w:r>
      </w:hyperlink>
    </w:p>
    <w:p w:rsidR="007A105C" w:rsidRDefault="0094478C">
      <w:pPr>
        <w:pStyle w:val="T1"/>
        <w:tabs>
          <w:tab w:val="right" w:leader="dot" w:pos="8493"/>
        </w:tabs>
        <w:rPr>
          <w:rFonts w:asciiTheme="minorHAnsi" w:hAnsiTheme="minorHAnsi"/>
          <w:noProof/>
          <w:sz w:val="22"/>
        </w:rPr>
      </w:pPr>
      <w:hyperlink w:anchor="_Toc432062022" w:history="1">
        <w:r w:rsidR="007A105C" w:rsidRPr="00586832">
          <w:rPr>
            <w:rStyle w:val="Kpr"/>
            <w:noProof/>
          </w:rPr>
          <w:t>2. GENEL BİLGİLER</w:t>
        </w:r>
        <w:r w:rsidR="007A105C">
          <w:rPr>
            <w:noProof/>
            <w:webHidden/>
          </w:rPr>
          <w:tab/>
        </w:r>
        <w:r>
          <w:rPr>
            <w:noProof/>
            <w:webHidden/>
          </w:rPr>
          <w:fldChar w:fldCharType="begin"/>
        </w:r>
        <w:r w:rsidR="007A105C">
          <w:rPr>
            <w:noProof/>
            <w:webHidden/>
          </w:rPr>
          <w:instrText xml:space="preserve"> PAGEREF _Toc432062022 \h </w:instrText>
        </w:r>
        <w:r>
          <w:rPr>
            <w:noProof/>
            <w:webHidden/>
          </w:rPr>
        </w:r>
        <w:r>
          <w:rPr>
            <w:noProof/>
            <w:webHidden/>
          </w:rPr>
          <w:fldChar w:fldCharType="separate"/>
        </w:r>
        <w:r w:rsidR="0066390A">
          <w:rPr>
            <w:noProof/>
            <w:webHidden/>
          </w:rPr>
          <w:t>2</w:t>
        </w:r>
        <w:r>
          <w:rPr>
            <w:noProof/>
            <w:webHidden/>
          </w:rPr>
          <w:fldChar w:fldCharType="end"/>
        </w:r>
      </w:hyperlink>
    </w:p>
    <w:p w:rsidR="007A105C" w:rsidRDefault="0094478C">
      <w:pPr>
        <w:pStyle w:val="T2"/>
        <w:tabs>
          <w:tab w:val="right" w:leader="dot" w:pos="8493"/>
        </w:tabs>
        <w:rPr>
          <w:rFonts w:asciiTheme="minorHAnsi" w:hAnsiTheme="minorHAnsi"/>
          <w:noProof/>
          <w:sz w:val="22"/>
        </w:rPr>
      </w:pPr>
      <w:hyperlink w:anchor="_Toc432062023" w:history="1">
        <w:r w:rsidR="007A105C" w:rsidRPr="00586832">
          <w:rPr>
            <w:rStyle w:val="Kpr"/>
            <w:noProof/>
          </w:rPr>
          <w:t>2.1. İVF Endikasyonları</w:t>
        </w:r>
        <w:r w:rsidR="007A105C">
          <w:rPr>
            <w:noProof/>
            <w:webHidden/>
          </w:rPr>
          <w:tab/>
        </w:r>
        <w:r>
          <w:rPr>
            <w:noProof/>
            <w:webHidden/>
          </w:rPr>
          <w:fldChar w:fldCharType="begin"/>
        </w:r>
        <w:r w:rsidR="007A105C">
          <w:rPr>
            <w:noProof/>
            <w:webHidden/>
          </w:rPr>
          <w:instrText xml:space="preserve"> PAGEREF _Toc432062023 \h </w:instrText>
        </w:r>
        <w:r>
          <w:rPr>
            <w:noProof/>
            <w:webHidden/>
          </w:rPr>
        </w:r>
        <w:r>
          <w:rPr>
            <w:noProof/>
            <w:webHidden/>
          </w:rPr>
          <w:fldChar w:fldCharType="separate"/>
        </w:r>
        <w:r w:rsidR="0066390A">
          <w:rPr>
            <w:noProof/>
            <w:webHidden/>
          </w:rPr>
          <w:t>2</w:t>
        </w:r>
        <w:r>
          <w:rPr>
            <w:noProof/>
            <w:webHidden/>
          </w:rPr>
          <w:fldChar w:fldCharType="end"/>
        </w:r>
      </w:hyperlink>
    </w:p>
    <w:p w:rsidR="007A105C" w:rsidRDefault="0094478C">
      <w:pPr>
        <w:pStyle w:val="T2"/>
        <w:tabs>
          <w:tab w:val="right" w:leader="dot" w:pos="8493"/>
        </w:tabs>
        <w:rPr>
          <w:rFonts w:asciiTheme="minorHAnsi" w:hAnsiTheme="minorHAnsi"/>
          <w:noProof/>
          <w:sz w:val="22"/>
        </w:rPr>
      </w:pPr>
      <w:hyperlink w:anchor="_Toc432062024" w:history="1">
        <w:r w:rsidR="007A105C" w:rsidRPr="00586832">
          <w:rPr>
            <w:rStyle w:val="Kpr"/>
            <w:noProof/>
          </w:rPr>
          <w:t>2.2 Kötü Over Rezervi:</w:t>
        </w:r>
        <w:r w:rsidR="007A105C">
          <w:rPr>
            <w:noProof/>
            <w:webHidden/>
          </w:rPr>
          <w:tab/>
        </w:r>
        <w:r>
          <w:rPr>
            <w:noProof/>
            <w:webHidden/>
          </w:rPr>
          <w:fldChar w:fldCharType="begin"/>
        </w:r>
        <w:r w:rsidR="007A105C">
          <w:rPr>
            <w:noProof/>
            <w:webHidden/>
          </w:rPr>
          <w:instrText xml:space="preserve"> PAGEREF _Toc432062024 \h </w:instrText>
        </w:r>
        <w:r>
          <w:rPr>
            <w:noProof/>
            <w:webHidden/>
          </w:rPr>
        </w:r>
        <w:r>
          <w:rPr>
            <w:noProof/>
            <w:webHidden/>
          </w:rPr>
          <w:fldChar w:fldCharType="separate"/>
        </w:r>
        <w:r w:rsidR="0066390A">
          <w:rPr>
            <w:noProof/>
            <w:webHidden/>
          </w:rPr>
          <w:t>3</w:t>
        </w:r>
        <w:r>
          <w:rPr>
            <w:noProof/>
            <w:webHidden/>
          </w:rPr>
          <w:fldChar w:fldCharType="end"/>
        </w:r>
      </w:hyperlink>
    </w:p>
    <w:p w:rsidR="007A105C" w:rsidRDefault="0094478C">
      <w:pPr>
        <w:pStyle w:val="T3"/>
        <w:tabs>
          <w:tab w:val="right" w:leader="dot" w:pos="8493"/>
        </w:tabs>
        <w:rPr>
          <w:rFonts w:asciiTheme="minorHAnsi" w:hAnsiTheme="minorHAnsi"/>
          <w:noProof/>
          <w:sz w:val="22"/>
        </w:rPr>
      </w:pPr>
      <w:hyperlink w:anchor="_Toc432062025" w:history="1">
        <w:r w:rsidR="007A105C" w:rsidRPr="00586832">
          <w:rPr>
            <w:rStyle w:val="Kpr"/>
            <w:noProof/>
          </w:rPr>
          <w:t>2.2.1. Kötü over rezerv tanısı</w:t>
        </w:r>
        <w:r w:rsidR="007A105C">
          <w:rPr>
            <w:noProof/>
            <w:webHidden/>
          </w:rPr>
          <w:tab/>
        </w:r>
        <w:r>
          <w:rPr>
            <w:noProof/>
            <w:webHidden/>
          </w:rPr>
          <w:fldChar w:fldCharType="begin"/>
        </w:r>
        <w:r w:rsidR="007A105C">
          <w:rPr>
            <w:noProof/>
            <w:webHidden/>
          </w:rPr>
          <w:instrText xml:space="preserve"> PAGEREF _Toc432062025 \h </w:instrText>
        </w:r>
        <w:r>
          <w:rPr>
            <w:noProof/>
            <w:webHidden/>
          </w:rPr>
        </w:r>
        <w:r>
          <w:rPr>
            <w:noProof/>
            <w:webHidden/>
          </w:rPr>
          <w:fldChar w:fldCharType="separate"/>
        </w:r>
        <w:r w:rsidR="0066390A">
          <w:rPr>
            <w:noProof/>
            <w:webHidden/>
          </w:rPr>
          <w:t>3</w:t>
        </w:r>
        <w:r>
          <w:rPr>
            <w:noProof/>
            <w:webHidden/>
          </w:rPr>
          <w:fldChar w:fldCharType="end"/>
        </w:r>
      </w:hyperlink>
    </w:p>
    <w:p w:rsidR="007A105C" w:rsidRDefault="0094478C">
      <w:pPr>
        <w:pStyle w:val="T3"/>
        <w:tabs>
          <w:tab w:val="right" w:leader="dot" w:pos="8493"/>
        </w:tabs>
        <w:rPr>
          <w:rFonts w:asciiTheme="minorHAnsi" w:hAnsiTheme="minorHAnsi"/>
          <w:noProof/>
          <w:sz w:val="22"/>
        </w:rPr>
      </w:pPr>
      <w:hyperlink w:anchor="_Toc432062026" w:history="1">
        <w:r w:rsidR="007A105C" w:rsidRPr="00586832">
          <w:rPr>
            <w:rStyle w:val="Kpr"/>
            <w:noProof/>
          </w:rPr>
          <w:t>2.2.2. Kötü Ovaryan Rezervde Etyoloji</w:t>
        </w:r>
        <w:r w:rsidR="007A105C">
          <w:rPr>
            <w:noProof/>
            <w:webHidden/>
          </w:rPr>
          <w:tab/>
        </w:r>
        <w:r>
          <w:rPr>
            <w:noProof/>
            <w:webHidden/>
          </w:rPr>
          <w:fldChar w:fldCharType="begin"/>
        </w:r>
        <w:r w:rsidR="007A105C">
          <w:rPr>
            <w:noProof/>
            <w:webHidden/>
          </w:rPr>
          <w:instrText xml:space="preserve"> PAGEREF _Toc432062026 \h </w:instrText>
        </w:r>
        <w:r>
          <w:rPr>
            <w:noProof/>
            <w:webHidden/>
          </w:rPr>
        </w:r>
        <w:r>
          <w:rPr>
            <w:noProof/>
            <w:webHidden/>
          </w:rPr>
          <w:fldChar w:fldCharType="separate"/>
        </w:r>
        <w:r w:rsidR="0066390A">
          <w:rPr>
            <w:noProof/>
            <w:webHidden/>
          </w:rPr>
          <w:t>4</w:t>
        </w:r>
        <w:r>
          <w:rPr>
            <w:noProof/>
            <w:webHidden/>
          </w:rPr>
          <w:fldChar w:fldCharType="end"/>
        </w:r>
      </w:hyperlink>
    </w:p>
    <w:p w:rsidR="007A105C" w:rsidRDefault="0094478C">
      <w:pPr>
        <w:pStyle w:val="T2"/>
        <w:tabs>
          <w:tab w:val="right" w:leader="dot" w:pos="8493"/>
        </w:tabs>
        <w:rPr>
          <w:rFonts w:asciiTheme="minorHAnsi" w:hAnsiTheme="minorHAnsi"/>
          <w:noProof/>
          <w:sz w:val="22"/>
        </w:rPr>
      </w:pPr>
      <w:hyperlink w:anchor="_Toc432062027" w:history="1">
        <w:r w:rsidR="007A105C" w:rsidRPr="00586832">
          <w:rPr>
            <w:rStyle w:val="Kpr"/>
            <w:noProof/>
          </w:rPr>
          <w:t>2.3. Over Rezerv Testleri</w:t>
        </w:r>
        <w:r w:rsidR="007A105C">
          <w:rPr>
            <w:noProof/>
            <w:webHidden/>
          </w:rPr>
          <w:tab/>
        </w:r>
        <w:r>
          <w:rPr>
            <w:noProof/>
            <w:webHidden/>
          </w:rPr>
          <w:fldChar w:fldCharType="begin"/>
        </w:r>
        <w:r w:rsidR="007A105C">
          <w:rPr>
            <w:noProof/>
            <w:webHidden/>
          </w:rPr>
          <w:instrText xml:space="preserve"> PAGEREF _Toc432062027 \h </w:instrText>
        </w:r>
        <w:r>
          <w:rPr>
            <w:noProof/>
            <w:webHidden/>
          </w:rPr>
        </w:r>
        <w:r>
          <w:rPr>
            <w:noProof/>
            <w:webHidden/>
          </w:rPr>
          <w:fldChar w:fldCharType="separate"/>
        </w:r>
        <w:r w:rsidR="0066390A">
          <w:rPr>
            <w:noProof/>
            <w:webHidden/>
          </w:rPr>
          <w:t>4</w:t>
        </w:r>
        <w:r>
          <w:rPr>
            <w:noProof/>
            <w:webHidden/>
          </w:rPr>
          <w:fldChar w:fldCharType="end"/>
        </w:r>
      </w:hyperlink>
    </w:p>
    <w:p w:rsidR="007A105C" w:rsidRDefault="0094478C">
      <w:pPr>
        <w:pStyle w:val="T2"/>
        <w:tabs>
          <w:tab w:val="right" w:leader="dot" w:pos="8493"/>
        </w:tabs>
        <w:rPr>
          <w:rFonts w:asciiTheme="minorHAnsi" w:hAnsiTheme="minorHAnsi"/>
          <w:noProof/>
          <w:sz w:val="22"/>
        </w:rPr>
      </w:pPr>
      <w:hyperlink w:anchor="_Toc432062028" w:history="1">
        <w:r w:rsidR="007A105C" w:rsidRPr="00586832">
          <w:rPr>
            <w:rStyle w:val="Kpr"/>
            <w:noProof/>
          </w:rPr>
          <w:t>2.4. Kötü Over Rezervli Hastalara Yaklaşım</w:t>
        </w:r>
        <w:r w:rsidR="007A105C">
          <w:rPr>
            <w:noProof/>
            <w:webHidden/>
          </w:rPr>
          <w:tab/>
        </w:r>
        <w:r>
          <w:rPr>
            <w:noProof/>
            <w:webHidden/>
          </w:rPr>
          <w:fldChar w:fldCharType="begin"/>
        </w:r>
        <w:r w:rsidR="007A105C">
          <w:rPr>
            <w:noProof/>
            <w:webHidden/>
          </w:rPr>
          <w:instrText xml:space="preserve"> PAGEREF _Toc432062028 \h </w:instrText>
        </w:r>
        <w:r>
          <w:rPr>
            <w:noProof/>
            <w:webHidden/>
          </w:rPr>
        </w:r>
        <w:r>
          <w:rPr>
            <w:noProof/>
            <w:webHidden/>
          </w:rPr>
          <w:fldChar w:fldCharType="separate"/>
        </w:r>
        <w:r w:rsidR="0066390A">
          <w:rPr>
            <w:noProof/>
            <w:webHidden/>
          </w:rPr>
          <w:t>6</w:t>
        </w:r>
        <w:r>
          <w:rPr>
            <w:noProof/>
            <w:webHidden/>
          </w:rPr>
          <w:fldChar w:fldCharType="end"/>
        </w:r>
      </w:hyperlink>
    </w:p>
    <w:p w:rsidR="007A105C" w:rsidRDefault="0094478C">
      <w:pPr>
        <w:pStyle w:val="T2"/>
        <w:tabs>
          <w:tab w:val="right" w:leader="dot" w:pos="8493"/>
        </w:tabs>
        <w:rPr>
          <w:rFonts w:asciiTheme="minorHAnsi" w:hAnsiTheme="minorHAnsi"/>
          <w:noProof/>
          <w:sz w:val="22"/>
        </w:rPr>
      </w:pPr>
      <w:hyperlink w:anchor="_Toc432062029" w:history="1">
        <w:r w:rsidR="007A105C" w:rsidRPr="00586832">
          <w:rPr>
            <w:rStyle w:val="Kpr"/>
            <w:noProof/>
          </w:rPr>
          <w:t>2.5. Yumurta Toplama (OPU)</w:t>
        </w:r>
        <w:r w:rsidR="007A105C">
          <w:rPr>
            <w:noProof/>
            <w:webHidden/>
          </w:rPr>
          <w:tab/>
        </w:r>
        <w:r>
          <w:rPr>
            <w:noProof/>
            <w:webHidden/>
          </w:rPr>
          <w:fldChar w:fldCharType="begin"/>
        </w:r>
        <w:r w:rsidR="007A105C">
          <w:rPr>
            <w:noProof/>
            <w:webHidden/>
          </w:rPr>
          <w:instrText xml:space="preserve"> PAGEREF _Toc432062029 \h </w:instrText>
        </w:r>
        <w:r>
          <w:rPr>
            <w:noProof/>
            <w:webHidden/>
          </w:rPr>
        </w:r>
        <w:r>
          <w:rPr>
            <w:noProof/>
            <w:webHidden/>
          </w:rPr>
          <w:fldChar w:fldCharType="separate"/>
        </w:r>
        <w:r w:rsidR="0066390A">
          <w:rPr>
            <w:noProof/>
            <w:webHidden/>
          </w:rPr>
          <w:t>10</w:t>
        </w:r>
        <w:r>
          <w:rPr>
            <w:noProof/>
            <w:webHidden/>
          </w:rPr>
          <w:fldChar w:fldCharType="end"/>
        </w:r>
      </w:hyperlink>
    </w:p>
    <w:p w:rsidR="007A105C" w:rsidRDefault="0094478C">
      <w:pPr>
        <w:pStyle w:val="T3"/>
        <w:tabs>
          <w:tab w:val="right" w:leader="dot" w:pos="8493"/>
        </w:tabs>
        <w:rPr>
          <w:rFonts w:asciiTheme="minorHAnsi" w:hAnsiTheme="minorHAnsi"/>
          <w:noProof/>
          <w:sz w:val="22"/>
        </w:rPr>
      </w:pPr>
      <w:hyperlink w:anchor="_Toc432062030" w:history="1">
        <w:r w:rsidR="007A105C" w:rsidRPr="00586832">
          <w:rPr>
            <w:rStyle w:val="Kpr"/>
            <w:noProof/>
          </w:rPr>
          <w:t>2.5.1. Anestezik Yaklaşım</w:t>
        </w:r>
        <w:r w:rsidR="007A105C">
          <w:rPr>
            <w:noProof/>
            <w:webHidden/>
          </w:rPr>
          <w:tab/>
        </w:r>
        <w:r>
          <w:rPr>
            <w:noProof/>
            <w:webHidden/>
          </w:rPr>
          <w:fldChar w:fldCharType="begin"/>
        </w:r>
        <w:r w:rsidR="007A105C">
          <w:rPr>
            <w:noProof/>
            <w:webHidden/>
          </w:rPr>
          <w:instrText xml:space="preserve"> PAGEREF _Toc432062030 \h </w:instrText>
        </w:r>
        <w:r>
          <w:rPr>
            <w:noProof/>
            <w:webHidden/>
          </w:rPr>
        </w:r>
        <w:r>
          <w:rPr>
            <w:noProof/>
            <w:webHidden/>
          </w:rPr>
          <w:fldChar w:fldCharType="separate"/>
        </w:r>
        <w:r w:rsidR="0066390A">
          <w:rPr>
            <w:noProof/>
            <w:webHidden/>
          </w:rPr>
          <w:t>11</w:t>
        </w:r>
        <w:r>
          <w:rPr>
            <w:noProof/>
            <w:webHidden/>
          </w:rPr>
          <w:fldChar w:fldCharType="end"/>
        </w:r>
      </w:hyperlink>
    </w:p>
    <w:p w:rsidR="007A105C" w:rsidRDefault="0094478C">
      <w:pPr>
        <w:pStyle w:val="T3"/>
        <w:tabs>
          <w:tab w:val="right" w:leader="dot" w:pos="8493"/>
        </w:tabs>
        <w:rPr>
          <w:rFonts w:asciiTheme="minorHAnsi" w:hAnsiTheme="minorHAnsi"/>
          <w:noProof/>
          <w:sz w:val="22"/>
        </w:rPr>
      </w:pPr>
      <w:hyperlink w:anchor="_Toc432062031" w:history="1">
        <w:r w:rsidR="007A105C" w:rsidRPr="00586832">
          <w:rPr>
            <w:rStyle w:val="Kpr"/>
            <w:noProof/>
          </w:rPr>
          <w:t>2.5.2 OPU İğneleri</w:t>
        </w:r>
        <w:r w:rsidR="007A105C">
          <w:rPr>
            <w:noProof/>
            <w:webHidden/>
          </w:rPr>
          <w:tab/>
        </w:r>
        <w:r>
          <w:rPr>
            <w:noProof/>
            <w:webHidden/>
          </w:rPr>
          <w:fldChar w:fldCharType="begin"/>
        </w:r>
        <w:r w:rsidR="007A105C">
          <w:rPr>
            <w:noProof/>
            <w:webHidden/>
          </w:rPr>
          <w:instrText xml:space="preserve"> PAGEREF _Toc432062031 \h </w:instrText>
        </w:r>
        <w:r>
          <w:rPr>
            <w:noProof/>
            <w:webHidden/>
          </w:rPr>
        </w:r>
        <w:r>
          <w:rPr>
            <w:noProof/>
            <w:webHidden/>
          </w:rPr>
          <w:fldChar w:fldCharType="separate"/>
        </w:r>
        <w:r w:rsidR="0066390A">
          <w:rPr>
            <w:noProof/>
            <w:webHidden/>
          </w:rPr>
          <w:t>12</w:t>
        </w:r>
        <w:r>
          <w:rPr>
            <w:noProof/>
            <w:webHidden/>
          </w:rPr>
          <w:fldChar w:fldCharType="end"/>
        </w:r>
      </w:hyperlink>
    </w:p>
    <w:p w:rsidR="007A105C" w:rsidRDefault="0094478C">
      <w:pPr>
        <w:pStyle w:val="T3"/>
        <w:tabs>
          <w:tab w:val="right" w:leader="dot" w:pos="8493"/>
        </w:tabs>
        <w:rPr>
          <w:rFonts w:asciiTheme="minorHAnsi" w:hAnsiTheme="minorHAnsi"/>
          <w:noProof/>
          <w:sz w:val="22"/>
        </w:rPr>
      </w:pPr>
      <w:hyperlink w:anchor="_Toc432062032" w:history="1">
        <w:r w:rsidR="007A105C" w:rsidRPr="00586832">
          <w:rPr>
            <w:rStyle w:val="Kpr"/>
            <w:noProof/>
          </w:rPr>
          <w:t>2.5.3 OPU İşlemi</w:t>
        </w:r>
        <w:r w:rsidR="007A105C">
          <w:rPr>
            <w:noProof/>
            <w:webHidden/>
          </w:rPr>
          <w:tab/>
        </w:r>
        <w:r>
          <w:rPr>
            <w:noProof/>
            <w:webHidden/>
          </w:rPr>
          <w:fldChar w:fldCharType="begin"/>
        </w:r>
        <w:r w:rsidR="007A105C">
          <w:rPr>
            <w:noProof/>
            <w:webHidden/>
          </w:rPr>
          <w:instrText xml:space="preserve"> PAGEREF _Toc432062032 \h </w:instrText>
        </w:r>
        <w:r>
          <w:rPr>
            <w:noProof/>
            <w:webHidden/>
          </w:rPr>
        </w:r>
        <w:r>
          <w:rPr>
            <w:noProof/>
            <w:webHidden/>
          </w:rPr>
          <w:fldChar w:fldCharType="separate"/>
        </w:r>
        <w:r w:rsidR="0066390A">
          <w:rPr>
            <w:noProof/>
            <w:webHidden/>
          </w:rPr>
          <w:t>13</w:t>
        </w:r>
        <w:r>
          <w:rPr>
            <w:noProof/>
            <w:webHidden/>
          </w:rPr>
          <w:fldChar w:fldCharType="end"/>
        </w:r>
      </w:hyperlink>
    </w:p>
    <w:p w:rsidR="007A105C" w:rsidRDefault="0094478C">
      <w:pPr>
        <w:pStyle w:val="T3"/>
        <w:tabs>
          <w:tab w:val="right" w:leader="dot" w:pos="8493"/>
        </w:tabs>
        <w:rPr>
          <w:rFonts w:asciiTheme="minorHAnsi" w:hAnsiTheme="minorHAnsi"/>
          <w:noProof/>
          <w:sz w:val="22"/>
        </w:rPr>
      </w:pPr>
      <w:hyperlink w:anchor="_Toc432062033" w:history="1">
        <w:r w:rsidR="007A105C" w:rsidRPr="00586832">
          <w:rPr>
            <w:rStyle w:val="Kpr"/>
            <w:noProof/>
          </w:rPr>
          <w:t>2.5.4. OPU Komplikasyonları</w:t>
        </w:r>
        <w:r w:rsidR="007A105C">
          <w:rPr>
            <w:noProof/>
            <w:webHidden/>
          </w:rPr>
          <w:tab/>
        </w:r>
        <w:r>
          <w:rPr>
            <w:noProof/>
            <w:webHidden/>
          </w:rPr>
          <w:fldChar w:fldCharType="begin"/>
        </w:r>
        <w:r w:rsidR="007A105C">
          <w:rPr>
            <w:noProof/>
            <w:webHidden/>
          </w:rPr>
          <w:instrText xml:space="preserve"> PAGEREF _Toc432062033 \h </w:instrText>
        </w:r>
        <w:r>
          <w:rPr>
            <w:noProof/>
            <w:webHidden/>
          </w:rPr>
        </w:r>
        <w:r>
          <w:rPr>
            <w:noProof/>
            <w:webHidden/>
          </w:rPr>
          <w:fldChar w:fldCharType="separate"/>
        </w:r>
        <w:r w:rsidR="0066390A">
          <w:rPr>
            <w:noProof/>
            <w:webHidden/>
          </w:rPr>
          <w:t>15</w:t>
        </w:r>
        <w:r>
          <w:rPr>
            <w:noProof/>
            <w:webHidden/>
          </w:rPr>
          <w:fldChar w:fldCharType="end"/>
        </w:r>
      </w:hyperlink>
    </w:p>
    <w:p w:rsidR="007A105C" w:rsidRDefault="0094478C">
      <w:pPr>
        <w:pStyle w:val="T1"/>
        <w:tabs>
          <w:tab w:val="right" w:leader="dot" w:pos="8493"/>
        </w:tabs>
        <w:rPr>
          <w:rFonts w:asciiTheme="minorHAnsi" w:hAnsiTheme="minorHAnsi"/>
          <w:noProof/>
          <w:sz w:val="22"/>
        </w:rPr>
      </w:pPr>
      <w:hyperlink w:anchor="_Toc432062034" w:history="1">
        <w:r w:rsidR="007A105C" w:rsidRPr="00586832">
          <w:rPr>
            <w:rStyle w:val="Kpr"/>
            <w:noProof/>
          </w:rPr>
          <w:t>3. GEREÇ VE YÖNTEM</w:t>
        </w:r>
        <w:r w:rsidR="007A105C">
          <w:rPr>
            <w:noProof/>
            <w:webHidden/>
          </w:rPr>
          <w:tab/>
        </w:r>
        <w:r>
          <w:rPr>
            <w:noProof/>
            <w:webHidden/>
          </w:rPr>
          <w:fldChar w:fldCharType="begin"/>
        </w:r>
        <w:r w:rsidR="007A105C">
          <w:rPr>
            <w:noProof/>
            <w:webHidden/>
          </w:rPr>
          <w:instrText xml:space="preserve"> PAGEREF _Toc432062034 \h </w:instrText>
        </w:r>
        <w:r>
          <w:rPr>
            <w:noProof/>
            <w:webHidden/>
          </w:rPr>
        </w:r>
        <w:r>
          <w:rPr>
            <w:noProof/>
            <w:webHidden/>
          </w:rPr>
          <w:fldChar w:fldCharType="separate"/>
        </w:r>
        <w:r w:rsidR="0066390A">
          <w:rPr>
            <w:noProof/>
            <w:webHidden/>
          </w:rPr>
          <w:t>16</w:t>
        </w:r>
        <w:r>
          <w:rPr>
            <w:noProof/>
            <w:webHidden/>
          </w:rPr>
          <w:fldChar w:fldCharType="end"/>
        </w:r>
      </w:hyperlink>
    </w:p>
    <w:p w:rsidR="007A105C" w:rsidRDefault="0094478C">
      <w:pPr>
        <w:pStyle w:val="T2"/>
        <w:tabs>
          <w:tab w:val="right" w:leader="dot" w:pos="8493"/>
        </w:tabs>
        <w:rPr>
          <w:rFonts w:asciiTheme="minorHAnsi" w:hAnsiTheme="minorHAnsi"/>
          <w:noProof/>
          <w:sz w:val="22"/>
        </w:rPr>
      </w:pPr>
      <w:hyperlink w:anchor="_Toc432062035" w:history="1">
        <w:r w:rsidR="007A105C" w:rsidRPr="00586832">
          <w:rPr>
            <w:rStyle w:val="Kpr"/>
            <w:noProof/>
          </w:rPr>
          <w:t>3.1. Olgu Seçimi</w:t>
        </w:r>
        <w:r w:rsidR="007A105C">
          <w:rPr>
            <w:noProof/>
            <w:webHidden/>
          </w:rPr>
          <w:tab/>
        </w:r>
        <w:r>
          <w:rPr>
            <w:noProof/>
            <w:webHidden/>
          </w:rPr>
          <w:fldChar w:fldCharType="begin"/>
        </w:r>
        <w:r w:rsidR="007A105C">
          <w:rPr>
            <w:noProof/>
            <w:webHidden/>
          </w:rPr>
          <w:instrText xml:space="preserve"> PAGEREF _Toc432062035 \h </w:instrText>
        </w:r>
        <w:r>
          <w:rPr>
            <w:noProof/>
            <w:webHidden/>
          </w:rPr>
        </w:r>
        <w:r>
          <w:rPr>
            <w:noProof/>
            <w:webHidden/>
          </w:rPr>
          <w:fldChar w:fldCharType="separate"/>
        </w:r>
        <w:r w:rsidR="0066390A">
          <w:rPr>
            <w:noProof/>
            <w:webHidden/>
          </w:rPr>
          <w:t>16</w:t>
        </w:r>
        <w:r>
          <w:rPr>
            <w:noProof/>
            <w:webHidden/>
          </w:rPr>
          <w:fldChar w:fldCharType="end"/>
        </w:r>
      </w:hyperlink>
    </w:p>
    <w:p w:rsidR="007A105C" w:rsidRDefault="0094478C">
      <w:pPr>
        <w:pStyle w:val="T2"/>
        <w:tabs>
          <w:tab w:val="right" w:leader="dot" w:pos="8493"/>
        </w:tabs>
        <w:rPr>
          <w:rFonts w:asciiTheme="minorHAnsi" w:hAnsiTheme="minorHAnsi"/>
          <w:noProof/>
          <w:sz w:val="22"/>
        </w:rPr>
      </w:pPr>
      <w:hyperlink w:anchor="_Toc432062036" w:history="1">
        <w:r w:rsidR="007A105C" w:rsidRPr="00586832">
          <w:rPr>
            <w:rStyle w:val="Kpr"/>
            <w:noProof/>
          </w:rPr>
          <w:t>3.2. İstatistiksel Analiz</w:t>
        </w:r>
        <w:r w:rsidR="007A105C">
          <w:rPr>
            <w:noProof/>
            <w:webHidden/>
          </w:rPr>
          <w:tab/>
        </w:r>
        <w:r>
          <w:rPr>
            <w:noProof/>
            <w:webHidden/>
          </w:rPr>
          <w:fldChar w:fldCharType="begin"/>
        </w:r>
        <w:r w:rsidR="007A105C">
          <w:rPr>
            <w:noProof/>
            <w:webHidden/>
          </w:rPr>
          <w:instrText xml:space="preserve"> PAGEREF _Toc432062036 \h </w:instrText>
        </w:r>
        <w:r>
          <w:rPr>
            <w:noProof/>
            <w:webHidden/>
          </w:rPr>
        </w:r>
        <w:r>
          <w:rPr>
            <w:noProof/>
            <w:webHidden/>
          </w:rPr>
          <w:fldChar w:fldCharType="separate"/>
        </w:r>
        <w:r w:rsidR="0066390A">
          <w:rPr>
            <w:noProof/>
            <w:webHidden/>
          </w:rPr>
          <w:t>17</w:t>
        </w:r>
        <w:r>
          <w:rPr>
            <w:noProof/>
            <w:webHidden/>
          </w:rPr>
          <w:fldChar w:fldCharType="end"/>
        </w:r>
      </w:hyperlink>
    </w:p>
    <w:p w:rsidR="007A105C" w:rsidRDefault="0094478C">
      <w:pPr>
        <w:pStyle w:val="T3"/>
        <w:tabs>
          <w:tab w:val="right" w:leader="dot" w:pos="8493"/>
        </w:tabs>
        <w:rPr>
          <w:rFonts w:asciiTheme="minorHAnsi" w:hAnsiTheme="minorHAnsi"/>
          <w:noProof/>
          <w:sz w:val="22"/>
        </w:rPr>
      </w:pPr>
      <w:hyperlink w:anchor="_Toc432062037" w:history="1">
        <w:r w:rsidR="007A105C" w:rsidRPr="00586832">
          <w:rPr>
            <w:rStyle w:val="Kpr"/>
            <w:noProof/>
          </w:rPr>
          <w:t>3.2.1. Örnekleme Hesaplaması</w:t>
        </w:r>
        <w:r w:rsidR="007A105C">
          <w:rPr>
            <w:noProof/>
            <w:webHidden/>
          </w:rPr>
          <w:tab/>
        </w:r>
        <w:r>
          <w:rPr>
            <w:noProof/>
            <w:webHidden/>
          </w:rPr>
          <w:fldChar w:fldCharType="begin"/>
        </w:r>
        <w:r w:rsidR="007A105C">
          <w:rPr>
            <w:noProof/>
            <w:webHidden/>
          </w:rPr>
          <w:instrText xml:space="preserve"> PAGEREF _Toc432062037 \h </w:instrText>
        </w:r>
        <w:r>
          <w:rPr>
            <w:noProof/>
            <w:webHidden/>
          </w:rPr>
        </w:r>
        <w:r>
          <w:rPr>
            <w:noProof/>
            <w:webHidden/>
          </w:rPr>
          <w:fldChar w:fldCharType="separate"/>
        </w:r>
        <w:r w:rsidR="0066390A">
          <w:rPr>
            <w:noProof/>
            <w:webHidden/>
          </w:rPr>
          <w:t>17</w:t>
        </w:r>
        <w:r>
          <w:rPr>
            <w:noProof/>
            <w:webHidden/>
          </w:rPr>
          <w:fldChar w:fldCharType="end"/>
        </w:r>
      </w:hyperlink>
    </w:p>
    <w:p w:rsidR="007A105C" w:rsidRDefault="0094478C">
      <w:pPr>
        <w:pStyle w:val="T3"/>
        <w:tabs>
          <w:tab w:val="right" w:leader="dot" w:pos="8493"/>
        </w:tabs>
        <w:rPr>
          <w:rFonts w:asciiTheme="minorHAnsi" w:hAnsiTheme="minorHAnsi"/>
          <w:noProof/>
          <w:sz w:val="22"/>
        </w:rPr>
      </w:pPr>
      <w:hyperlink w:anchor="_Toc432062038" w:history="1">
        <w:r w:rsidR="007A105C" w:rsidRPr="00586832">
          <w:rPr>
            <w:rStyle w:val="Kpr"/>
            <w:noProof/>
          </w:rPr>
          <w:t>3.2.2. İstatistiksel Metod</w:t>
        </w:r>
        <w:r w:rsidR="007A105C">
          <w:rPr>
            <w:noProof/>
            <w:webHidden/>
          </w:rPr>
          <w:tab/>
        </w:r>
        <w:r>
          <w:rPr>
            <w:noProof/>
            <w:webHidden/>
          </w:rPr>
          <w:fldChar w:fldCharType="begin"/>
        </w:r>
        <w:r w:rsidR="007A105C">
          <w:rPr>
            <w:noProof/>
            <w:webHidden/>
          </w:rPr>
          <w:instrText xml:space="preserve"> PAGEREF _Toc432062038 \h </w:instrText>
        </w:r>
        <w:r>
          <w:rPr>
            <w:noProof/>
            <w:webHidden/>
          </w:rPr>
        </w:r>
        <w:r>
          <w:rPr>
            <w:noProof/>
            <w:webHidden/>
          </w:rPr>
          <w:fldChar w:fldCharType="separate"/>
        </w:r>
        <w:r w:rsidR="0066390A">
          <w:rPr>
            <w:noProof/>
            <w:webHidden/>
          </w:rPr>
          <w:t>17</w:t>
        </w:r>
        <w:r>
          <w:rPr>
            <w:noProof/>
            <w:webHidden/>
          </w:rPr>
          <w:fldChar w:fldCharType="end"/>
        </w:r>
      </w:hyperlink>
    </w:p>
    <w:p w:rsidR="007A105C" w:rsidRDefault="0094478C">
      <w:pPr>
        <w:pStyle w:val="T1"/>
        <w:tabs>
          <w:tab w:val="right" w:leader="dot" w:pos="8493"/>
        </w:tabs>
        <w:rPr>
          <w:rFonts w:asciiTheme="minorHAnsi" w:hAnsiTheme="minorHAnsi"/>
          <w:noProof/>
          <w:sz w:val="22"/>
        </w:rPr>
      </w:pPr>
      <w:hyperlink w:anchor="_Toc432062039" w:history="1">
        <w:r w:rsidR="007A105C" w:rsidRPr="00586832">
          <w:rPr>
            <w:rStyle w:val="Kpr"/>
            <w:noProof/>
          </w:rPr>
          <w:t>4. BULGULAR</w:t>
        </w:r>
        <w:r w:rsidR="007A105C">
          <w:rPr>
            <w:noProof/>
            <w:webHidden/>
          </w:rPr>
          <w:tab/>
        </w:r>
        <w:r>
          <w:rPr>
            <w:noProof/>
            <w:webHidden/>
          </w:rPr>
          <w:fldChar w:fldCharType="begin"/>
        </w:r>
        <w:r w:rsidR="007A105C">
          <w:rPr>
            <w:noProof/>
            <w:webHidden/>
          </w:rPr>
          <w:instrText xml:space="preserve"> PAGEREF _Toc432062039 \h </w:instrText>
        </w:r>
        <w:r>
          <w:rPr>
            <w:noProof/>
            <w:webHidden/>
          </w:rPr>
        </w:r>
        <w:r>
          <w:rPr>
            <w:noProof/>
            <w:webHidden/>
          </w:rPr>
          <w:fldChar w:fldCharType="separate"/>
        </w:r>
        <w:r w:rsidR="0066390A">
          <w:rPr>
            <w:noProof/>
            <w:webHidden/>
          </w:rPr>
          <w:t>18</w:t>
        </w:r>
        <w:r>
          <w:rPr>
            <w:noProof/>
            <w:webHidden/>
          </w:rPr>
          <w:fldChar w:fldCharType="end"/>
        </w:r>
      </w:hyperlink>
    </w:p>
    <w:p w:rsidR="007A105C" w:rsidRDefault="0094478C">
      <w:pPr>
        <w:pStyle w:val="T2"/>
        <w:tabs>
          <w:tab w:val="right" w:leader="dot" w:pos="8493"/>
        </w:tabs>
        <w:rPr>
          <w:rFonts w:asciiTheme="minorHAnsi" w:hAnsiTheme="minorHAnsi"/>
          <w:noProof/>
          <w:sz w:val="22"/>
        </w:rPr>
      </w:pPr>
      <w:hyperlink w:anchor="_Toc432062040" w:history="1">
        <w:r w:rsidR="007A105C" w:rsidRPr="00586832">
          <w:rPr>
            <w:rStyle w:val="Kpr"/>
            <w:noProof/>
          </w:rPr>
          <w:t>4.1. Olgu Değerlendirme</w:t>
        </w:r>
        <w:r w:rsidR="007A105C">
          <w:rPr>
            <w:noProof/>
            <w:webHidden/>
          </w:rPr>
          <w:tab/>
        </w:r>
        <w:r>
          <w:rPr>
            <w:noProof/>
            <w:webHidden/>
          </w:rPr>
          <w:fldChar w:fldCharType="begin"/>
        </w:r>
        <w:r w:rsidR="007A105C">
          <w:rPr>
            <w:noProof/>
            <w:webHidden/>
          </w:rPr>
          <w:instrText xml:space="preserve"> PAGEREF _Toc432062040 \h </w:instrText>
        </w:r>
        <w:r>
          <w:rPr>
            <w:noProof/>
            <w:webHidden/>
          </w:rPr>
        </w:r>
        <w:r>
          <w:rPr>
            <w:noProof/>
            <w:webHidden/>
          </w:rPr>
          <w:fldChar w:fldCharType="separate"/>
        </w:r>
        <w:r w:rsidR="0066390A">
          <w:rPr>
            <w:noProof/>
            <w:webHidden/>
          </w:rPr>
          <w:t>18</w:t>
        </w:r>
        <w:r>
          <w:rPr>
            <w:noProof/>
            <w:webHidden/>
          </w:rPr>
          <w:fldChar w:fldCharType="end"/>
        </w:r>
      </w:hyperlink>
    </w:p>
    <w:p w:rsidR="007A105C" w:rsidRDefault="0094478C">
      <w:pPr>
        <w:pStyle w:val="T2"/>
        <w:tabs>
          <w:tab w:val="right" w:leader="dot" w:pos="8493"/>
        </w:tabs>
        <w:rPr>
          <w:rFonts w:asciiTheme="minorHAnsi" w:hAnsiTheme="minorHAnsi"/>
          <w:noProof/>
          <w:sz w:val="22"/>
        </w:rPr>
      </w:pPr>
      <w:hyperlink w:anchor="_Toc432062041" w:history="1">
        <w:r w:rsidR="007A105C" w:rsidRPr="00586832">
          <w:rPr>
            <w:rStyle w:val="Kpr"/>
            <w:noProof/>
          </w:rPr>
          <w:t>4.2. Tek ve Çift Lümen İğne Karşılaştırma Sonuçları</w:t>
        </w:r>
        <w:r w:rsidR="007A105C">
          <w:rPr>
            <w:noProof/>
            <w:webHidden/>
          </w:rPr>
          <w:tab/>
        </w:r>
        <w:r>
          <w:rPr>
            <w:noProof/>
            <w:webHidden/>
          </w:rPr>
          <w:fldChar w:fldCharType="begin"/>
        </w:r>
        <w:r w:rsidR="007A105C">
          <w:rPr>
            <w:noProof/>
            <w:webHidden/>
          </w:rPr>
          <w:instrText xml:space="preserve"> PAGEREF _Toc432062041 \h </w:instrText>
        </w:r>
        <w:r>
          <w:rPr>
            <w:noProof/>
            <w:webHidden/>
          </w:rPr>
        </w:r>
        <w:r>
          <w:rPr>
            <w:noProof/>
            <w:webHidden/>
          </w:rPr>
          <w:fldChar w:fldCharType="separate"/>
        </w:r>
        <w:r w:rsidR="0066390A">
          <w:rPr>
            <w:noProof/>
            <w:webHidden/>
          </w:rPr>
          <w:t>19</w:t>
        </w:r>
        <w:r>
          <w:rPr>
            <w:noProof/>
            <w:webHidden/>
          </w:rPr>
          <w:fldChar w:fldCharType="end"/>
        </w:r>
      </w:hyperlink>
    </w:p>
    <w:p w:rsidR="007A105C" w:rsidRDefault="0094478C">
      <w:pPr>
        <w:pStyle w:val="T1"/>
        <w:tabs>
          <w:tab w:val="right" w:leader="dot" w:pos="8493"/>
        </w:tabs>
        <w:rPr>
          <w:rFonts w:asciiTheme="minorHAnsi" w:hAnsiTheme="minorHAnsi"/>
          <w:noProof/>
          <w:sz w:val="22"/>
        </w:rPr>
      </w:pPr>
      <w:hyperlink w:anchor="_Toc432062042" w:history="1">
        <w:r w:rsidR="007A105C" w:rsidRPr="00586832">
          <w:rPr>
            <w:rStyle w:val="Kpr"/>
            <w:noProof/>
          </w:rPr>
          <w:t>5. TARTIŞMA ve SONUÇLAR</w:t>
        </w:r>
        <w:r w:rsidR="007A105C">
          <w:rPr>
            <w:noProof/>
            <w:webHidden/>
          </w:rPr>
          <w:tab/>
        </w:r>
        <w:r>
          <w:rPr>
            <w:noProof/>
            <w:webHidden/>
          </w:rPr>
          <w:fldChar w:fldCharType="begin"/>
        </w:r>
        <w:r w:rsidR="007A105C">
          <w:rPr>
            <w:noProof/>
            <w:webHidden/>
          </w:rPr>
          <w:instrText xml:space="preserve"> PAGEREF _Toc432062042 \h </w:instrText>
        </w:r>
        <w:r>
          <w:rPr>
            <w:noProof/>
            <w:webHidden/>
          </w:rPr>
        </w:r>
        <w:r>
          <w:rPr>
            <w:noProof/>
            <w:webHidden/>
          </w:rPr>
          <w:fldChar w:fldCharType="separate"/>
        </w:r>
        <w:r w:rsidR="0066390A">
          <w:rPr>
            <w:noProof/>
            <w:webHidden/>
          </w:rPr>
          <w:t>22</w:t>
        </w:r>
        <w:r>
          <w:rPr>
            <w:noProof/>
            <w:webHidden/>
          </w:rPr>
          <w:fldChar w:fldCharType="end"/>
        </w:r>
      </w:hyperlink>
    </w:p>
    <w:p w:rsidR="007A105C" w:rsidRDefault="0094478C">
      <w:pPr>
        <w:pStyle w:val="T1"/>
        <w:tabs>
          <w:tab w:val="right" w:leader="dot" w:pos="8493"/>
        </w:tabs>
        <w:rPr>
          <w:rFonts w:asciiTheme="minorHAnsi" w:hAnsiTheme="minorHAnsi"/>
          <w:noProof/>
          <w:sz w:val="22"/>
        </w:rPr>
      </w:pPr>
      <w:hyperlink w:anchor="_Toc432062043" w:history="1">
        <w:r w:rsidR="007A105C" w:rsidRPr="00586832">
          <w:rPr>
            <w:rStyle w:val="Kpr"/>
            <w:noProof/>
          </w:rPr>
          <w:t>6. KAYNAKLAR</w:t>
        </w:r>
        <w:r w:rsidR="007A105C">
          <w:rPr>
            <w:noProof/>
            <w:webHidden/>
          </w:rPr>
          <w:tab/>
        </w:r>
        <w:r>
          <w:rPr>
            <w:noProof/>
            <w:webHidden/>
          </w:rPr>
          <w:fldChar w:fldCharType="begin"/>
        </w:r>
        <w:r w:rsidR="007A105C">
          <w:rPr>
            <w:noProof/>
            <w:webHidden/>
          </w:rPr>
          <w:instrText xml:space="preserve"> PAGEREF _Toc432062043 \h </w:instrText>
        </w:r>
        <w:r>
          <w:rPr>
            <w:noProof/>
            <w:webHidden/>
          </w:rPr>
        </w:r>
        <w:r>
          <w:rPr>
            <w:noProof/>
            <w:webHidden/>
          </w:rPr>
          <w:fldChar w:fldCharType="separate"/>
        </w:r>
        <w:r w:rsidR="0066390A">
          <w:rPr>
            <w:noProof/>
            <w:webHidden/>
          </w:rPr>
          <w:t>25</w:t>
        </w:r>
        <w:r>
          <w:rPr>
            <w:noProof/>
            <w:webHidden/>
          </w:rPr>
          <w:fldChar w:fldCharType="end"/>
        </w:r>
      </w:hyperlink>
    </w:p>
    <w:p w:rsidR="000E17F3" w:rsidRDefault="0094478C" w:rsidP="00B03215">
      <w:r>
        <w:fldChar w:fldCharType="end"/>
      </w:r>
    </w:p>
    <w:p w:rsidR="00B03215" w:rsidRDefault="00B03215" w:rsidP="00B03215"/>
    <w:p w:rsidR="00B03215" w:rsidRDefault="00B03215" w:rsidP="00B03215"/>
    <w:p w:rsidR="00B03215" w:rsidRDefault="00B03215" w:rsidP="00B03215"/>
    <w:p w:rsidR="00B03215" w:rsidRPr="00CB2647" w:rsidRDefault="00B03215" w:rsidP="00B03215"/>
    <w:p w:rsidR="00B03215" w:rsidRDefault="00B03215">
      <w:pPr>
        <w:tabs>
          <w:tab w:val="clear" w:pos="709"/>
        </w:tabs>
        <w:spacing w:after="200" w:line="276" w:lineRule="auto"/>
        <w:jc w:val="left"/>
        <w:rPr>
          <w:rFonts w:eastAsiaTheme="majorEastAsia" w:cstheme="majorBidi"/>
          <w:b/>
          <w:bCs/>
          <w:sz w:val="28"/>
          <w:szCs w:val="28"/>
        </w:rPr>
      </w:pPr>
      <w:r>
        <w:br w:type="page"/>
      </w:r>
    </w:p>
    <w:p w:rsidR="000E17F3" w:rsidRPr="00CB2647" w:rsidRDefault="000E17F3" w:rsidP="00561DEB">
      <w:pPr>
        <w:pStyle w:val="Balk1"/>
        <w:jc w:val="center"/>
        <w:rPr>
          <w:sz w:val="24"/>
          <w:szCs w:val="24"/>
        </w:rPr>
      </w:pPr>
      <w:bookmarkStart w:id="5" w:name="_Toc432062017"/>
      <w:r w:rsidRPr="00CB2647">
        <w:lastRenderedPageBreak/>
        <w:t>TABLOLAR DİZİNİ</w:t>
      </w:r>
      <w:bookmarkEnd w:id="5"/>
    </w:p>
    <w:p w:rsidR="000E17F3" w:rsidRPr="00903ED9" w:rsidRDefault="000E17F3" w:rsidP="00903ED9">
      <w:pPr>
        <w:jc w:val="right"/>
        <w:rPr>
          <w:b/>
          <w:u w:val="single"/>
        </w:rPr>
      </w:pPr>
      <w:r w:rsidRPr="00903ED9">
        <w:rPr>
          <w:b/>
          <w:u w:val="single"/>
        </w:rPr>
        <w:t>Sayfa No</w:t>
      </w:r>
    </w:p>
    <w:p w:rsidR="00903ED9" w:rsidRDefault="00903ED9" w:rsidP="00903ED9">
      <w:pPr>
        <w:tabs>
          <w:tab w:val="clear" w:pos="709"/>
          <w:tab w:val="left" w:leader="dot" w:pos="8222"/>
        </w:tabs>
        <w:ind w:right="565"/>
      </w:pPr>
      <w:r w:rsidRPr="00CB2647">
        <w:t>Tablo 4.1: Tek Lümen ile Çift Lümen Kullanılan Gruplar Arasında Demografik ve Siklus Özellikleri</w:t>
      </w:r>
      <w:r>
        <w:tab/>
        <w:t>19</w:t>
      </w:r>
    </w:p>
    <w:p w:rsidR="00903ED9" w:rsidRDefault="00903ED9" w:rsidP="00903ED9">
      <w:pPr>
        <w:tabs>
          <w:tab w:val="clear" w:pos="709"/>
          <w:tab w:val="left" w:leader="dot" w:pos="8222"/>
        </w:tabs>
        <w:ind w:right="565"/>
      </w:pPr>
      <w:r w:rsidRPr="00CB2647">
        <w:t>Tablo 4.2: OPU ve Laboratuar Özellikleri</w:t>
      </w:r>
      <w:r>
        <w:tab/>
        <w:t>20</w:t>
      </w:r>
    </w:p>
    <w:p w:rsidR="00903ED9" w:rsidRPr="00CB2647" w:rsidRDefault="00903ED9" w:rsidP="00903ED9">
      <w:pPr>
        <w:tabs>
          <w:tab w:val="clear" w:pos="709"/>
          <w:tab w:val="left" w:leader="dot" w:pos="8222"/>
        </w:tabs>
        <w:ind w:right="565"/>
      </w:pPr>
      <w:r w:rsidRPr="00CB2647">
        <w:t>Tablo 4.3: İVF/İCSİ Sonuçları</w:t>
      </w:r>
      <w:r>
        <w:tab/>
        <w:t>21</w:t>
      </w:r>
    </w:p>
    <w:p w:rsidR="00903ED9" w:rsidRDefault="00903ED9" w:rsidP="00903ED9">
      <w:pPr>
        <w:tabs>
          <w:tab w:val="clear" w:pos="709"/>
          <w:tab w:val="left" w:leader="dot" w:pos="8222"/>
        </w:tabs>
        <w:ind w:right="565"/>
      </w:pPr>
      <w:r w:rsidRPr="00CB2647">
        <w:t>Tablo 4.4: Embriyo Transfer (ET) İptal Nedenleri</w:t>
      </w:r>
      <w:r>
        <w:tab/>
        <w:t>21</w:t>
      </w:r>
    </w:p>
    <w:p w:rsidR="004C3687" w:rsidRPr="00CB2647" w:rsidRDefault="004C3687" w:rsidP="00217587">
      <w:pPr>
        <w:rPr>
          <w:sz w:val="28"/>
          <w:szCs w:val="28"/>
        </w:rPr>
      </w:pPr>
    </w:p>
    <w:p w:rsidR="004C3687" w:rsidRPr="00CB2647" w:rsidRDefault="004C3687" w:rsidP="00217587">
      <w:pPr>
        <w:rPr>
          <w:sz w:val="28"/>
          <w:szCs w:val="28"/>
        </w:rPr>
      </w:pPr>
    </w:p>
    <w:p w:rsidR="00561DEB" w:rsidRPr="00CB2647" w:rsidRDefault="00561DEB">
      <w:pPr>
        <w:tabs>
          <w:tab w:val="clear" w:pos="709"/>
        </w:tabs>
        <w:spacing w:after="200" w:line="276" w:lineRule="auto"/>
        <w:jc w:val="left"/>
        <w:rPr>
          <w:sz w:val="28"/>
          <w:szCs w:val="28"/>
        </w:rPr>
      </w:pPr>
      <w:r w:rsidRPr="00CB2647">
        <w:rPr>
          <w:sz w:val="28"/>
          <w:szCs w:val="28"/>
        </w:rPr>
        <w:br w:type="page"/>
      </w:r>
    </w:p>
    <w:p w:rsidR="000E17F3" w:rsidRPr="00CB2647" w:rsidRDefault="000E17F3" w:rsidP="00561DEB">
      <w:pPr>
        <w:pStyle w:val="Balk1"/>
        <w:jc w:val="center"/>
        <w:rPr>
          <w:rFonts w:cs="Times New Roman"/>
          <w:sz w:val="24"/>
          <w:szCs w:val="24"/>
        </w:rPr>
      </w:pPr>
      <w:bookmarkStart w:id="6" w:name="_Toc432062018"/>
      <w:r w:rsidRPr="00CB2647">
        <w:lastRenderedPageBreak/>
        <w:t>ŞEKİLLER DİZİNİ</w:t>
      </w:r>
      <w:bookmarkEnd w:id="6"/>
    </w:p>
    <w:p w:rsidR="00903ED9" w:rsidRPr="00903ED9" w:rsidRDefault="00903ED9" w:rsidP="00903ED9">
      <w:pPr>
        <w:jc w:val="right"/>
        <w:rPr>
          <w:b/>
          <w:u w:val="single"/>
        </w:rPr>
      </w:pPr>
      <w:r w:rsidRPr="00903ED9">
        <w:rPr>
          <w:b/>
          <w:u w:val="single"/>
        </w:rPr>
        <w:t>Sayfa No</w:t>
      </w:r>
    </w:p>
    <w:p w:rsidR="00903ED9" w:rsidRDefault="00903ED9" w:rsidP="00903ED9">
      <w:pPr>
        <w:tabs>
          <w:tab w:val="clear" w:pos="709"/>
          <w:tab w:val="left" w:leader="dot" w:pos="8222"/>
        </w:tabs>
        <w:ind w:right="565"/>
      </w:pPr>
      <w:r w:rsidRPr="00CB2647">
        <w:t xml:space="preserve">Şekil </w:t>
      </w:r>
      <w:r>
        <w:t>2.</w:t>
      </w:r>
      <w:r w:rsidRPr="00CB2647">
        <w:t>1: Ocak 2004-Aralık 2009 Arasında Bologna ile Modena Üniversitesi Tüp Bebek Ünitesinde 3825 Hasta Üzerinde Gerçekleştirilen Çalışma</w:t>
      </w:r>
      <w:r>
        <w:tab/>
        <w:t>3</w:t>
      </w:r>
    </w:p>
    <w:p w:rsidR="00903ED9" w:rsidRDefault="00903ED9" w:rsidP="00903ED9">
      <w:pPr>
        <w:tabs>
          <w:tab w:val="clear" w:pos="709"/>
          <w:tab w:val="left" w:leader="dot" w:pos="8222"/>
        </w:tabs>
        <w:ind w:right="565"/>
      </w:pPr>
      <w:r w:rsidRPr="00CB2647">
        <w:t xml:space="preserve">Şekil </w:t>
      </w:r>
      <w:r>
        <w:t>2.</w:t>
      </w:r>
      <w:r w:rsidRPr="00CB2647">
        <w:t>2: Kötü Over Rezervini Öngörmede FSH(solda) ve AMH ile AFC (sağda)</w:t>
      </w:r>
      <w:r>
        <w:tab/>
        <w:t>6</w:t>
      </w:r>
    </w:p>
    <w:p w:rsidR="00903ED9" w:rsidRPr="00CB2647" w:rsidRDefault="00903ED9" w:rsidP="00903ED9">
      <w:pPr>
        <w:tabs>
          <w:tab w:val="clear" w:pos="709"/>
          <w:tab w:val="left" w:leader="dot" w:pos="8222"/>
        </w:tabs>
        <w:ind w:right="565"/>
      </w:pPr>
      <w:r w:rsidRPr="00CB2647">
        <w:t>Şekil 4.1: Çalışmada Olgu Seçiminde Uygulanan Kriterler</w:t>
      </w:r>
      <w:r>
        <w:tab/>
        <w:t>17</w:t>
      </w:r>
    </w:p>
    <w:p w:rsidR="005B49B2" w:rsidRDefault="005B49B2" w:rsidP="00903ED9"/>
    <w:p w:rsidR="00903ED9" w:rsidRDefault="00903ED9" w:rsidP="00903ED9"/>
    <w:p w:rsidR="00903ED9" w:rsidRPr="00CB2647" w:rsidRDefault="00903ED9" w:rsidP="00903ED9"/>
    <w:p w:rsidR="005B49B2" w:rsidRPr="00CB2647" w:rsidRDefault="005B49B2" w:rsidP="00903ED9">
      <w:pPr>
        <w:rPr>
          <w:szCs w:val="24"/>
        </w:rPr>
      </w:pPr>
    </w:p>
    <w:p w:rsidR="00561DEB" w:rsidRPr="00CB2647" w:rsidRDefault="00561DEB">
      <w:pPr>
        <w:tabs>
          <w:tab w:val="clear" w:pos="709"/>
        </w:tabs>
        <w:spacing w:after="200" w:line="276" w:lineRule="auto"/>
        <w:jc w:val="left"/>
        <w:rPr>
          <w:szCs w:val="24"/>
        </w:rPr>
      </w:pPr>
      <w:r w:rsidRPr="00CB2647">
        <w:rPr>
          <w:szCs w:val="24"/>
        </w:rPr>
        <w:br w:type="page"/>
      </w:r>
    </w:p>
    <w:p w:rsidR="005B49B2" w:rsidRPr="00CB2647" w:rsidRDefault="005B49B2" w:rsidP="00561DEB">
      <w:pPr>
        <w:pStyle w:val="Balk1"/>
        <w:jc w:val="center"/>
      </w:pPr>
      <w:bookmarkStart w:id="7" w:name="_Toc432062019"/>
      <w:r w:rsidRPr="00CB2647">
        <w:lastRenderedPageBreak/>
        <w:t>RESİMLER</w:t>
      </w:r>
      <w:r w:rsidR="00561DEB" w:rsidRPr="00CB2647">
        <w:t xml:space="preserve"> DİZİNİ</w:t>
      </w:r>
      <w:bookmarkEnd w:id="7"/>
    </w:p>
    <w:p w:rsidR="00903ED9" w:rsidRPr="00903ED9" w:rsidRDefault="00903ED9" w:rsidP="00903ED9">
      <w:pPr>
        <w:jc w:val="right"/>
        <w:rPr>
          <w:b/>
          <w:u w:val="single"/>
        </w:rPr>
      </w:pPr>
      <w:r w:rsidRPr="00903ED9">
        <w:rPr>
          <w:b/>
          <w:u w:val="single"/>
        </w:rPr>
        <w:t>Sayfa No</w:t>
      </w:r>
    </w:p>
    <w:p w:rsidR="00903ED9" w:rsidRDefault="00903ED9" w:rsidP="00903ED9">
      <w:pPr>
        <w:tabs>
          <w:tab w:val="clear" w:pos="709"/>
          <w:tab w:val="left" w:leader="dot" w:pos="8222"/>
        </w:tabs>
      </w:pPr>
      <w:r w:rsidRPr="00CB2647">
        <w:t xml:space="preserve">Resim </w:t>
      </w:r>
      <w:r>
        <w:t>2.</w:t>
      </w:r>
      <w:r w:rsidRPr="00CB2647">
        <w:t>1: Çift lümenli OPU İğnesi</w:t>
      </w:r>
      <w:r>
        <w:tab/>
        <w:t>12</w:t>
      </w:r>
    </w:p>
    <w:p w:rsidR="00903ED9" w:rsidRDefault="00903ED9" w:rsidP="00903ED9">
      <w:pPr>
        <w:tabs>
          <w:tab w:val="clear" w:pos="709"/>
          <w:tab w:val="left" w:leader="dot" w:pos="8222"/>
        </w:tabs>
      </w:pPr>
      <w:r w:rsidRPr="00CB2647">
        <w:t xml:space="preserve">Resim </w:t>
      </w:r>
      <w:r>
        <w:t>2.</w:t>
      </w:r>
      <w:r w:rsidRPr="00CB2647">
        <w:t>2: Tek Lümenli OPU İğnesi</w:t>
      </w:r>
      <w:r>
        <w:tab/>
        <w:t>12</w:t>
      </w:r>
    </w:p>
    <w:p w:rsidR="00903ED9" w:rsidRDefault="00903ED9" w:rsidP="00903ED9">
      <w:pPr>
        <w:tabs>
          <w:tab w:val="clear" w:pos="709"/>
          <w:tab w:val="left" w:leader="dot" w:pos="8222"/>
        </w:tabs>
      </w:pPr>
      <w:r w:rsidRPr="00CB2647">
        <w:t xml:space="preserve">Resim </w:t>
      </w:r>
      <w:r>
        <w:t>2.</w:t>
      </w:r>
      <w:r w:rsidRPr="00CB2647">
        <w:t>3: OPU için hazırlanmış ultrason probu</w:t>
      </w:r>
      <w:r>
        <w:tab/>
        <w:t>14</w:t>
      </w:r>
    </w:p>
    <w:p w:rsidR="005B49B2" w:rsidRPr="00CB2647" w:rsidRDefault="005B49B2" w:rsidP="00903ED9"/>
    <w:p w:rsidR="005B49B2" w:rsidRPr="00CB2647" w:rsidRDefault="005B49B2" w:rsidP="00903ED9"/>
    <w:p w:rsidR="005B49B2" w:rsidRPr="00CB2647" w:rsidRDefault="005B49B2" w:rsidP="00903ED9"/>
    <w:p w:rsidR="005B49B2" w:rsidRPr="00CB2647" w:rsidRDefault="005B49B2" w:rsidP="00903ED9"/>
    <w:p w:rsidR="005B49B2" w:rsidRPr="00CB2647" w:rsidRDefault="005B49B2" w:rsidP="00903ED9"/>
    <w:p w:rsidR="005B49B2" w:rsidRPr="00CB2647" w:rsidRDefault="005B49B2" w:rsidP="00903ED9"/>
    <w:p w:rsidR="00AC752F" w:rsidRPr="00CB2647" w:rsidRDefault="00AC752F" w:rsidP="00903ED9"/>
    <w:p w:rsidR="00AC752F" w:rsidRPr="00CB2647" w:rsidRDefault="00AC752F" w:rsidP="00903ED9"/>
    <w:p w:rsidR="00AC752F" w:rsidRPr="00CB2647" w:rsidRDefault="00AC752F" w:rsidP="00903ED9"/>
    <w:p w:rsidR="005B49B2" w:rsidRPr="00CB2647" w:rsidRDefault="005B49B2" w:rsidP="00903ED9"/>
    <w:p w:rsidR="00561DEB" w:rsidRPr="00CB2647" w:rsidRDefault="00561DEB">
      <w:pPr>
        <w:tabs>
          <w:tab w:val="clear" w:pos="709"/>
        </w:tabs>
        <w:spacing w:after="200" w:line="276" w:lineRule="auto"/>
        <w:jc w:val="left"/>
        <w:rPr>
          <w:b/>
          <w:sz w:val="28"/>
          <w:szCs w:val="28"/>
        </w:rPr>
      </w:pPr>
      <w:r w:rsidRPr="00CB2647">
        <w:rPr>
          <w:b/>
          <w:sz w:val="28"/>
          <w:szCs w:val="28"/>
        </w:rPr>
        <w:br w:type="page"/>
      </w:r>
    </w:p>
    <w:p w:rsidR="000E17F3" w:rsidRPr="00CB2647" w:rsidRDefault="000E17F3" w:rsidP="00561DEB">
      <w:pPr>
        <w:pStyle w:val="Balk1"/>
        <w:jc w:val="center"/>
      </w:pPr>
      <w:bookmarkStart w:id="8" w:name="_Toc432062020"/>
      <w:r w:rsidRPr="00CB2647">
        <w:lastRenderedPageBreak/>
        <w:t>KISALTMALAR DİZİNİ</w:t>
      </w:r>
      <w:bookmarkEnd w:id="8"/>
    </w:p>
    <w:p w:rsidR="00407AB1" w:rsidRPr="00CB2647" w:rsidRDefault="00407AB1" w:rsidP="000E17F3">
      <w:pPr>
        <w:rPr>
          <w:szCs w:val="24"/>
        </w:rPr>
      </w:pPr>
      <w:r w:rsidRPr="00CB2647">
        <w:rPr>
          <w:b/>
          <w:szCs w:val="24"/>
        </w:rPr>
        <w:t>AFC</w:t>
      </w:r>
      <w:r w:rsidRPr="00CB2647">
        <w:rPr>
          <w:szCs w:val="24"/>
        </w:rPr>
        <w:tab/>
      </w:r>
      <w:r w:rsidRPr="00CB2647">
        <w:rPr>
          <w:szCs w:val="24"/>
        </w:rPr>
        <w:tab/>
        <w:t>Antral Follicle Count</w:t>
      </w:r>
    </w:p>
    <w:p w:rsidR="00407AB1" w:rsidRPr="00CB2647" w:rsidRDefault="00407AB1" w:rsidP="000E17F3">
      <w:pPr>
        <w:rPr>
          <w:szCs w:val="24"/>
        </w:rPr>
      </w:pPr>
      <w:r w:rsidRPr="00CB2647">
        <w:rPr>
          <w:b/>
          <w:szCs w:val="24"/>
        </w:rPr>
        <w:t>AMH</w:t>
      </w:r>
      <w:r w:rsidRPr="00CB2647">
        <w:rPr>
          <w:szCs w:val="24"/>
        </w:rPr>
        <w:tab/>
      </w:r>
      <w:r w:rsidRPr="00CB2647">
        <w:rPr>
          <w:szCs w:val="24"/>
        </w:rPr>
        <w:tab/>
        <w:t>Anti-Mullerian Hormone</w:t>
      </w:r>
    </w:p>
    <w:p w:rsidR="00407AB1" w:rsidRPr="00CB2647" w:rsidRDefault="00407AB1" w:rsidP="00217587">
      <w:pPr>
        <w:rPr>
          <w:szCs w:val="24"/>
        </w:rPr>
      </w:pPr>
      <w:r w:rsidRPr="00CB2647">
        <w:rPr>
          <w:b/>
          <w:szCs w:val="24"/>
        </w:rPr>
        <w:t>FSH</w:t>
      </w:r>
      <w:r w:rsidRPr="00CB2647">
        <w:rPr>
          <w:szCs w:val="24"/>
        </w:rPr>
        <w:tab/>
      </w:r>
      <w:r w:rsidRPr="00CB2647">
        <w:rPr>
          <w:szCs w:val="24"/>
        </w:rPr>
        <w:tab/>
        <w:t>Follicle-Stimulating Hormone</w:t>
      </w:r>
    </w:p>
    <w:p w:rsidR="00407AB1" w:rsidRPr="00CB2647" w:rsidRDefault="00407AB1" w:rsidP="000E17F3">
      <w:pPr>
        <w:rPr>
          <w:szCs w:val="24"/>
        </w:rPr>
      </w:pPr>
      <w:r w:rsidRPr="00CB2647">
        <w:rPr>
          <w:b/>
          <w:szCs w:val="24"/>
        </w:rPr>
        <w:t>GnRH</w:t>
      </w:r>
      <w:r w:rsidRPr="00CB2647">
        <w:rPr>
          <w:szCs w:val="24"/>
        </w:rPr>
        <w:tab/>
      </w:r>
      <w:r w:rsidRPr="00CB2647">
        <w:rPr>
          <w:szCs w:val="24"/>
        </w:rPr>
        <w:tab/>
        <w:t>Gonadotropin-Releasing Hormone</w:t>
      </w:r>
    </w:p>
    <w:p w:rsidR="00407AB1" w:rsidRPr="00CB2647" w:rsidRDefault="00407AB1" w:rsidP="000E17F3">
      <w:pPr>
        <w:rPr>
          <w:szCs w:val="24"/>
        </w:rPr>
      </w:pPr>
      <w:r w:rsidRPr="00CB2647">
        <w:rPr>
          <w:b/>
          <w:szCs w:val="24"/>
        </w:rPr>
        <w:t>hCG</w:t>
      </w:r>
      <w:r w:rsidRPr="00CB2647">
        <w:rPr>
          <w:szCs w:val="24"/>
        </w:rPr>
        <w:tab/>
      </w:r>
      <w:r w:rsidRPr="00CB2647">
        <w:rPr>
          <w:szCs w:val="24"/>
        </w:rPr>
        <w:tab/>
        <w:t>Human Chorionic Gonadotropin</w:t>
      </w:r>
    </w:p>
    <w:p w:rsidR="00407AB1" w:rsidRPr="00CB2647" w:rsidRDefault="00407AB1" w:rsidP="000E17F3">
      <w:pPr>
        <w:rPr>
          <w:szCs w:val="24"/>
        </w:rPr>
      </w:pPr>
      <w:r w:rsidRPr="00CB2647">
        <w:rPr>
          <w:b/>
          <w:szCs w:val="24"/>
        </w:rPr>
        <w:t>İCSİ</w:t>
      </w:r>
      <w:r w:rsidRPr="00CB2647">
        <w:rPr>
          <w:szCs w:val="24"/>
        </w:rPr>
        <w:tab/>
      </w:r>
      <w:r w:rsidRPr="00CB2647">
        <w:rPr>
          <w:szCs w:val="24"/>
        </w:rPr>
        <w:tab/>
        <w:t>İntracytoplasmic Sperm İnjection</w:t>
      </w:r>
    </w:p>
    <w:p w:rsidR="00407AB1" w:rsidRPr="00CB2647" w:rsidRDefault="00407AB1" w:rsidP="000E17F3">
      <w:pPr>
        <w:rPr>
          <w:szCs w:val="24"/>
        </w:rPr>
      </w:pPr>
      <w:r w:rsidRPr="00CB2647">
        <w:rPr>
          <w:b/>
          <w:szCs w:val="24"/>
        </w:rPr>
        <w:t>İVF</w:t>
      </w:r>
      <w:r w:rsidRPr="00CB2647">
        <w:rPr>
          <w:b/>
          <w:szCs w:val="24"/>
        </w:rPr>
        <w:tab/>
      </w:r>
      <w:r w:rsidRPr="00CB2647">
        <w:rPr>
          <w:b/>
          <w:szCs w:val="24"/>
        </w:rPr>
        <w:tab/>
      </w:r>
      <w:r w:rsidRPr="00CB2647">
        <w:rPr>
          <w:szCs w:val="24"/>
        </w:rPr>
        <w:t>İn Vitro Fertilization</w:t>
      </w:r>
    </w:p>
    <w:p w:rsidR="00407AB1" w:rsidRPr="00CB2647" w:rsidRDefault="00407AB1" w:rsidP="00217587">
      <w:pPr>
        <w:rPr>
          <w:szCs w:val="24"/>
        </w:rPr>
      </w:pPr>
      <w:r w:rsidRPr="00CB2647">
        <w:rPr>
          <w:b/>
          <w:szCs w:val="24"/>
        </w:rPr>
        <w:t>KOH</w:t>
      </w:r>
      <w:r w:rsidRPr="00CB2647">
        <w:rPr>
          <w:szCs w:val="24"/>
        </w:rPr>
        <w:tab/>
      </w:r>
      <w:r w:rsidRPr="00CB2647">
        <w:rPr>
          <w:szCs w:val="24"/>
        </w:rPr>
        <w:tab/>
        <w:t>Kontrollü Ovaryan Hiperstimulasyon</w:t>
      </w:r>
    </w:p>
    <w:p w:rsidR="00407AB1" w:rsidRPr="00CB2647" w:rsidRDefault="00407AB1" w:rsidP="00217587">
      <w:pPr>
        <w:rPr>
          <w:szCs w:val="24"/>
        </w:rPr>
      </w:pPr>
      <w:r w:rsidRPr="00CB2647">
        <w:rPr>
          <w:b/>
          <w:szCs w:val="24"/>
        </w:rPr>
        <w:t>LH</w:t>
      </w:r>
      <w:r w:rsidRPr="00CB2647">
        <w:rPr>
          <w:szCs w:val="24"/>
        </w:rPr>
        <w:tab/>
      </w:r>
      <w:r w:rsidRPr="00CB2647">
        <w:rPr>
          <w:szCs w:val="24"/>
        </w:rPr>
        <w:tab/>
        <w:t xml:space="preserve">Luteinizing Hormone </w:t>
      </w:r>
    </w:p>
    <w:p w:rsidR="00407AB1" w:rsidRPr="00CB2647" w:rsidRDefault="00407AB1" w:rsidP="000E17F3">
      <w:pPr>
        <w:rPr>
          <w:szCs w:val="24"/>
        </w:rPr>
      </w:pPr>
      <w:r w:rsidRPr="00CB2647">
        <w:rPr>
          <w:b/>
          <w:szCs w:val="24"/>
        </w:rPr>
        <w:t>OPU</w:t>
      </w:r>
      <w:r w:rsidRPr="00CB2647">
        <w:rPr>
          <w:szCs w:val="24"/>
        </w:rPr>
        <w:tab/>
      </w:r>
      <w:r w:rsidRPr="00CB2647">
        <w:rPr>
          <w:szCs w:val="24"/>
        </w:rPr>
        <w:tab/>
        <w:t>Oocyte Pick Up</w:t>
      </w:r>
    </w:p>
    <w:p w:rsidR="00407AB1" w:rsidRPr="00CB2647" w:rsidRDefault="00407AB1" w:rsidP="00217587">
      <w:pPr>
        <w:rPr>
          <w:szCs w:val="24"/>
        </w:rPr>
      </w:pPr>
      <w:r w:rsidRPr="00CB2647">
        <w:rPr>
          <w:b/>
          <w:szCs w:val="24"/>
        </w:rPr>
        <w:t>rFSH</w:t>
      </w:r>
      <w:r w:rsidRPr="00CB2647">
        <w:rPr>
          <w:szCs w:val="24"/>
        </w:rPr>
        <w:tab/>
      </w:r>
      <w:r w:rsidRPr="00CB2647">
        <w:rPr>
          <w:szCs w:val="24"/>
        </w:rPr>
        <w:tab/>
        <w:t xml:space="preserve">Recombinant Follicle-Stimulating Hormone </w:t>
      </w:r>
    </w:p>
    <w:p w:rsidR="00407AB1" w:rsidRPr="00CB2647" w:rsidRDefault="00407AB1" w:rsidP="00217587">
      <w:pPr>
        <w:rPr>
          <w:szCs w:val="24"/>
        </w:rPr>
      </w:pPr>
      <w:r w:rsidRPr="00CB2647">
        <w:rPr>
          <w:b/>
          <w:szCs w:val="24"/>
        </w:rPr>
        <w:t>rLH</w:t>
      </w:r>
      <w:r w:rsidRPr="00CB2647">
        <w:rPr>
          <w:szCs w:val="24"/>
        </w:rPr>
        <w:tab/>
      </w:r>
      <w:r w:rsidRPr="00CB2647">
        <w:rPr>
          <w:szCs w:val="24"/>
        </w:rPr>
        <w:tab/>
        <w:t>Recombinant Luteinizing Hormone</w:t>
      </w:r>
    </w:p>
    <w:p w:rsidR="00DA4FCC" w:rsidRPr="00CB2647" w:rsidRDefault="00DA4FCC" w:rsidP="00407AB1"/>
    <w:p w:rsidR="005B49B2" w:rsidRPr="00CB2647" w:rsidRDefault="005B49B2" w:rsidP="00407AB1"/>
    <w:p w:rsidR="005B49B2" w:rsidRPr="00CB2647" w:rsidRDefault="005B49B2" w:rsidP="00407AB1"/>
    <w:p w:rsidR="005B49B2" w:rsidRPr="00CB2647" w:rsidRDefault="005B49B2" w:rsidP="00407AB1"/>
    <w:p w:rsidR="005B49B2" w:rsidRPr="00CB2647" w:rsidRDefault="005B49B2" w:rsidP="00407AB1"/>
    <w:p w:rsidR="005B49B2" w:rsidRPr="00CB2647" w:rsidRDefault="005B49B2" w:rsidP="00407AB1"/>
    <w:p w:rsidR="005B49B2" w:rsidRPr="00CB2647" w:rsidRDefault="005B49B2" w:rsidP="00407AB1"/>
    <w:p w:rsidR="005B49B2" w:rsidRPr="00CB2647" w:rsidRDefault="005B49B2" w:rsidP="00407AB1"/>
    <w:p w:rsidR="00DA7412" w:rsidRPr="00CB2647" w:rsidRDefault="00DA7412" w:rsidP="00407AB1"/>
    <w:p w:rsidR="00C53E6F" w:rsidRPr="00CB2647" w:rsidRDefault="00C53E6F" w:rsidP="00407AB1"/>
    <w:p w:rsidR="00407AB1" w:rsidRPr="00CB2647" w:rsidRDefault="00407AB1" w:rsidP="00D03131">
      <w:pPr>
        <w:autoSpaceDE w:val="0"/>
        <w:autoSpaceDN w:val="0"/>
        <w:adjustRightInd w:val="0"/>
        <w:rPr>
          <w:b/>
          <w:bCs/>
          <w:sz w:val="28"/>
          <w:szCs w:val="28"/>
        </w:rPr>
        <w:sectPr w:rsidR="00407AB1" w:rsidRPr="00CB2647" w:rsidSect="00903ED9">
          <w:pgSz w:w="11906" w:h="16838"/>
          <w:pgMar w:top="1418" w:right="1418" w:bottom="1418" w:left="1701" w:header="850" w:footer="850" w:gutter="284"/>
          <w:pgNumType w:fmt="lowerRoman" w:start="1"/>
          <w:cols w:space="708"/>
          <w:docGrid w:linePitch="360"/>
        </w:sectPr>
      </w:pPr>
    </w:p>
    <w:p w:rsidR="00A57DBC" w:rsidRPr="00CB2647" w:rsidRDefault="00A57DBC" w:rsidP="00407AB1">
      <w:pPr>
        <w:pStyle w:val="Balk1"/>
        <w:jc w:val="center"/>
      </w:pPr>
      <w:bookmarkStart w:id="9" w:name="_Toc432062021"/>
      <w:r w:rsidRPr="00CB2647">
        <w:lastRenderedPageBreak/>
        <w:t>1.GİRİŞ ve AMAÇ</w:t>
      </w:r>
      <w:bookmarkEnd w:id="9"/>
    </w:p>
    <w:p w:rsidR="005B03FC" w:rsidRPr="00CB2647" w:rsidRDefault="00407AB1" w:rsidP="00407AB1">
      <w:r w:rsidRPr="00CB2647">
        <w:tab/>
      </w:r>
      <w:r w:rsidR="005D4AB7" w:rsidRPr="00CB2647">
        <w:t>Bilindiği üzere İVF uygulamasında OPU(oosit pick</w:t>
      </w:r>
      <w:r w:rsidR="00BA445F" w:rsidRPr="00CB2647">
        <w:t>-</w:t>
      </w:r>
      <w:r w:rsidR="005D4AB7" w:rsidRPr="00CB2647">
        <w:t xml:space="preserve"> up)rutin olarak uygulanan bir işlemdir.Kontrollü ovaryan stimülayonu sonrasınd</w:t>
      </w:r>
      <w:r w:rsidR="00634A45" w:rsidRPr="00CB2647">
        <w:t>a oosit toplanması genelliklehCG</w:t>
      </w:r>
      <w:r w:rsidR="00AC752F" w:rsidRPr="00CB2647">
        <w:t>uygulamasından</w:t>
      </w:r>
      <w:r w:rsidR="005D4AB7" w:rsidRPr="00CB2647">
        <w:t xml:space="preserve"> 34-36 saat sonrasında yapılmaktadır. Önceleri yumurta toplama işlemi laparaskopi ile yapılırken günümü</w:t>
      </w:r>
      <w:r w:rsidR="00DA4775" w:rsidRPr="00CB2647">
        <w:t>z</w:t>
      </w:r>
      <w:r w:rsidR="005D4AB7" w:rsidRPr="00CB2647">
        <w:t>d</w:t>
      </w:r>
      <w:r w:rsidR="005B49B2" w:rsidRPr="00CB2647">
        <w:t xml:space="preserve">e bu işlem </w:t>
      </w:r>
      <w:r w:rsidR="005D4AB7" w:rsidRPr="00CB2647">
        <w:t>transvajinal ultrasonografi probuna iğne yerleştirilerek tercih</w:t>
      </w:r>
      <w:r w:rsidR="005B49B2" w:rsidRPr="00CB2647">
        <w:t xml:space="preserve">en intravenöz sedasyon altında </w:t>
      </w:r>
      <w:r w:rsidR="005D4AB7" w:rsidRPr="00CB2647">
        <w:t xml:space="preserve">vajinal yoldan girilerek </w:t>
      </w:r>
      <w:r w:rsidR="00634A45" w:rsidRPr="00CB2647">
        <w:t>foliküllerden oosit aspirasyonu şeklinde uygulan</w:t>
      </w:r>
      <w:r w:rsidR="005D4AB7" w:rsidRPr="00CB2647">
        <w:t>maktadır</w:t>
      </w:r>
      <w:r w:rsidR="00634A45" w:rsidRPr="00CB2647">
        <w:t>(1,2)</w:t>
      </w:r>
      <w:r w:rsidR="005D4AB7" w:rsidRPr="00CB2647">
        <w:t>.B</w:t>
      </w:r>
      <w:r w:rsidR="00D03131" w:rsidRPr="00CB2647">
        <w:t xml:space="preserve">u işlem esnasında günümüzde iki türlü </w:t>
      </w:r>
      <w:r w:rsidR="005D4AB7" w:rsidRPr="00CB2647">
        <w:t>iğne kullanılmaktadır.</w:t>
      </w:r>
      <w:r w:rsidR="00394A27">
        <w:t xml:space="preserve"> </w:t>
      </w:r>
      <w:r w:rsidR="00BA445F" w:rsidRPr="00CB2647">
        <w:t>Tek lümen iğne kullanımında iğne follikül içine girip fo</w:t>
      </w:r>
      <w:r w:rsidR="001358F1" w:rsidRPr="00CB2647">
        <w:t>liküler sıvı aspire edilip çıkılırken</w:t>
      </w:r>
      <w:r w:rsidR="0041574A" w:rsidRPr="00CB2647">
        <w:t>,çift lümen iğne kullanımında folikül içine girip foliküler sıv</w:t>
      </w:r>
      <w:r w:rsidR="001C3249" w:rsidRPr="00CB2647">
        <w:t xml:space="preserve">ı aspire edildikten sonra iğne </w:t>
      </w:r>
      <w:r w:rsidR="0041574A" w:rsidRPr="00CB2647">
        <w:t>folikülden çıkmadan folikülün flush medium ile yıkanarak tekrar aspire edilmesi esasına dayanır.Bu i</w:t>
      </w:r>
      <w:r w:rsidR="001C3249" w:rsidRPr="00CB2647">
        <w:t xml:space="preserve">şlem kumulus-oosit kompleksinin </w:t>
      </w:r>
      <w:r w:rsidR="0041574A" w:rsidRPr="00CB2647">
        <w:t xml:space="preserve">folliküler retansiyon ihtimaline karşı daha fazla oosit elde edilmesi amaçlanarak </w:t>
      </w:r>
      <w:r w:rsidR="00924705" w:rsidRPr="00CB2647">
        <w:t>yapılır(3)</w:t>
      </w:r>
      <w:r w:rsidR="00AC752F" w:rsidRPr="00CB2647">
        <w:t xml:space="preserve">. </w:t>
      </w:r>
      <w:r w:rsidR="00047054" w:rsidRPr="00CB2647">
        <w:t>Ancak çift lümen</w:t>
      </w:r>
      <w:r w:rsidR="00BA3F8F" w:rsidRPr="00CB2647">
        <w:t xml:space="preserve"> iğ</w:t>
      </w:r>
      <w:r w:rsidR="00047054" w:rsidRPr="00CB2647">
        <w:t>ne kullanımın belirgin bir avantajı gösterilememiş olup,toplanan oosit sayı veya gebelik oranlarınd</w:t>
      </w:r>
      <w:r w:rsidR="001358F1" w:rsidRPr="00CB2647">
        <w:t>a bir fark tespit edilememiştir(4).</w:t>
      </w:r>
      <w:r w:rsidR="00047054" w:rsidRPr="00CB2647">
        <w:t>Daha çok fo</w:t>
      </w:r>
      <w:r w:rsidR="00BA3F8F" w:rsidRPr="00CB2647">
        <w:t>l</w:t>
      </w:r>
      <w:r w:rsidR="00047054" w:rsidRPr="00CB2647">
        <w:t xml:space="preserve">likül yanıtı yetersiz olan,kötü over rezervli hastalarda </w:t>
      </w:r>
      <w:r w:rsidR="00BA3F8F" w:rsidRPr="00CB2647">
        <w:t xml:space="preserve">daha az oosit elde edilme endişesi nedeniyle </w:t>
      </w:r>
      <w:r w:rsidR="00D962E8" w:rsidRPr="00CB2647">
        <w:t xml:space="preserve">çift iğne </w:t>
      </w:r>
      <w:r w:rsidR="00047054" w:rsidRPr="00CB2647">
        <w:t>tercih edilmektedir.</w:t>
      </w:r>
    </w:p>
    <w:p w:rsidR="00133853" w:rsidRPr="00CB2647" w:rsidRDefault="00434387" w:rsidP="00434387">
      <w:r w:rsidRPr="00CB2647">
        <w:tab/>
      </w:r>
      <w:r w:rsidR="00047054" w:rsidRPr="00CB2647">
        <w:t>Günümüzde kötü over rezervli hastalar tanılarını alırken Bologna K</w:t>
      </w:r>
      <w:r w:rsidR="00D03131" w:rsidRPr="00CB2647">
        <w:t xml:space="preserve">riterleri göz önünde tutulmaktadır. </w:t>
      </w:r>
      <w:r w:rsidR="00133853" w:rsidRPr="00CB2647">
        <w:t>Tanı için bu üç kriterden en az ikisinin olması gereklidir:</w:t>
      </w:r>
    </w:p>
    <w:p w:rsidR="00133853" w:rsidRPr="00CB2647" w:rsidRDefault="00434387" w:rsidP="00434387">
      <w:r w:rsidRPr="00CB2647">
        <w:tab/>
        <w:t xml:space="preserve">(i) </w:t>
      </w:r>
      <w:r w:rsidR="00133853" w:rsidRPr="00CB2647">
        <w:t>İleri anne yaşı(&gt;40 yaş) veya kötü over rezervi için herhangi bir risk faktörünün varlığı</w:t>
      </w:r>
    </w:p>
    <w:p w:rsidR="00133853" w:rsidRPr="00CB2647" w:rsidRDefault="00434387" w:rsidP="00434387">
      <w:r w:rsidRPr="00CB2647">
        <w:tab/>
        <w:t xml:space="preserve">(i) </w:t>
      </w:r>
      <w:r w:rsidR="00BA3F8F" w:rsidRPr="00CB2647">
        <w:t>Bilinen kötü over rezervin</w:t>
      </w:r>
      <w:r w:rsidR="00133853" w:rsidRPr="00CB2647">
        <w:t xml:space="preserve"> olması(uygulanan stimülasyon protokolünden sonra &lt;3 oosit elde edilmesi)</w:t>
      </w:r>
    </w:p>
    <w:p w:rsidR="00BA3F8F" w:rsidRPr="00CB2647" w:rsidRDefault="00434387" w:rsidP="00434387">
      <w:r w:rsidRPr="00CB2647">
        <w:tab/>
        <w:t xml:space="preserve">(i) </w:t>
      </w:r>
      <w:r w:rsidR="00BA3F8F" w:rsidRPr="00CB2647">
        <w:t>Anormal ovaryan rezerv t</w:t>
      </w:r>
      <w:r w:rsidR="00FF7550" w:rsidRPr="00CB2647">
        <w:t xml:space="preserve">esti(AFC &lt;5-7 follikül veya AMH </w:t>
      </w:r>
      <w:r w:rsidR="00BA3F8F" w:rsidRPr="00CB2647">
        <w:t>&lt;</w:t>
      </w:r>
      <w:r w:rsidR="00FF7550" w:rsidRPr="00CB2647">
        <w:t xml:space="preserve"> 0,</w:t>
      </w:r>
      <w:r w:rsidR="00BA3F8F" w:rsidRPr="00CB2647">
        <w:t>5-</w:t>
      </w:r>
      <w:r w:rsidR="00FF7550" w:rsidRPr="00CB2647">
        <w:t>1,</w:t>
      </w:r>
      <w:r w:rsidR="00BA3F8F" w:rsidRPr="00CB2647">
        <w:t>1 ng/ml olması)</w:t>
      </w:r>
    </w:p>
    <w:p w:rsidR="008D23B5" w:rsidRPr="00CB2647" w:rsidRDefault="00434387" w:rsidP="00434387">
      <w:r w:rsidRPr="00CB2647">
        <w:tab/>
      </w:r>
      <w:r w:rsidR="00D962E8" w:rsidRPr="00CB2647">
        <w:t xml:space="preserve">Bizim kliniğimizde her iki iğnede kullanılmakta olup kötü over rezervli hastalarda iğne kullanımı açısından yetersiz literatür olması nedeniyle randomize çalışma yaparak bu konudaki eksikliği gidermeyi ve bundan sonra tercih edilecek iğne açısından detaylı </w:t>
      </w:r>
      <w:r w:rsidR="009F71F8" w:rsidRPr="00CB2647">
        <w:t xml:space="preserve">bilgiyi bize vermesini amaçlayarak </w:t>
      </w:r>
      <w:r w:rsidR="00393FEE" w:rsidRPr="00CB2647">
        <w:t xml:space="preserve">bu </w:t>
      </w:r>
      <w:r w:rsidR="009F71F8" w:rsidRPr="00CB2647">
        <w:t>çalışmayı düzenledik</w:t>
      </w:r>
      <w:r w:rsidR="008D23B5" w:rsidRPr="00CB2647">
        <w:t>.</w:t>
      </w:r>
    </w:p>
    <w:p w:rsidR="001F58E1" w:rsidRPr="00CB2647" w:rsidRDefault="001F58E1" w:rsidP="00434387"/>
    <w:p w:rsidR="00434387" w:rsidRPr="00CB2647" w:rsidRDefault="00434387">
      <w:pPr>
        <w:tabs>
          <w:tab w:val="clear" w:pos="709"/>
        </w:tabs>
        <w:spacing w:after="200" w:line="276" w:lineRule="auto"/>
        <w:jc w:val="left"/>
        <w:rPr>
          <w:rFonts w:cs="Times New Roman"/>
          <w:b/>
          <w:sz w:val="28"/>
          <w:szCs w:val="28"/>
        </w:rPr>
      </w:pPr>
      <w:r w:rsidRPr="00CB2647">
        <w:rPr>
          <w:rFonts w:cs="Times New Roman"/>
          <w:b/>
          <w:sz w:val="28"/>
          <w:szCs w:val="28"/>
        </w:rPr>
        <w:br w:type="page"/>
      </w:r>
    </w:p>
    <w:p w:rsidR="002832B7" w:rsidRPr="00CB2647" w:rsidRDefault="00151538" w:rsidP="00434387">
      <w:pPr>
        <w:pStyle w:val="Balk1"/>
        <w:jc w:val="center"/>
        <w:rPr>
          <w:szCs w:val="24"/>
        </w:rPr>
      </w:pPr>
      <w:bookmarkStart w:id="10" w:name="_Toc432062022"/>
      <w:r w:rsidRPr="00CB2647">
        <w:lastRenderedPageBreak/>
        <w:t>2.</w:t>
      </w:r>
      <w:r w:rsidR="00256E04" w:rsidRPr="00CB2647">
        <w:t>GENEL BİLGİLER</w:t>
      </w:r>
      <w:bookmarkEnd w:id="10"/>
    </w:p>
    <w:p w:rsidR="008E0E48" w:rsidRPr="00CB2647" w:rsidRDefault="00434387" w:rsidP="00434387">
      <w:r w:rsidRPr="00CB2647">
        <w:tab/>
      </w:r>
      <w:r w:rsidR="005B03FC" w:rsidRPr="00CB2647">
        <w:t>İn</w:t>
      </w:r>
      <w:r w:rsidR="00B17E03" w:rsidRPr="00CB2647">
        <w:t xml:space="preserve"> Vitro F</w:t>
      </w:r>
      <w:r w:rsidR="005B03FC" w:rsidRPr="00CB2647">
        <w:t>ertilizasyon(İVF) işlemi eksojen gonadotropin ile kontrollü ovaryan hiperstimülasyo</w:t>
      </w:r>
      <w:r w:rsidR="001C3249" w:rsidRPr="00CB2647">
        <w:t>n sonrası transvajinal ultrason</w:t>
      </w:r>
      <w:r w:rsidR="00DA7412" w:rsidRPr="00CB2647">
        <w:t>ografi</w:t>
      </w:r>
      <w:r w:rsidR="00394A27">
        <w:t xml:space="preserve"> </w:t>
      </w:r>
      <w:r w:rsidR="005B03FC" w:rsidRPr="00CB2647">
        <w:t xml:space="preserve">eşliğinde yumurta toplama işlemi </w:t>
      </w:r>
      <w:r w:rsidR="00B17E03" w:rsidRPr="00CB2647">
        <w:t xml:space="preserve">ve </w:t>
      </w:r>
      <w:r w:rsidR="005B03FC" w:rsidRPr="00CB2647">
        <w:t>laboratu</w:t>
      </w:r>
      <w:r w:rsidRPr="00CB2647">
        <w:t>v</w:t>
      </w:r>
      <w:r w:rsidR="005B03FC" w:rsidRPr="00CB2647">
        <w:t xml:space="preserve">ar şartlarında gerçekleştirilen fertilizasyon </w:t>
      </w:r>
      <w:r w:rsidR="00B17E03" w:rsidRPr="00CB2647">
        <w:t>ile</w:t>
      </w:r>
      <w:r w:rsidR="00394A27">
        <w:t xml:space="preserve"> </w:t>
      </w:r>
      <w:r w:rsidR="00B17E03" w:rsidRPr="00CB2647">
        <w:t>elde edilen embriyoların</w:t>
      </w:r>
      <w:r w:rsidR="002832B7" w:rsidRPr="00CB2647">
        <w:t xml:space="preserve"> transservikal yoldan transferini kapsamaktadır.</w:t>
      </w:r>
    </w:p>
    <w:p w:rsidR="009517A6" w:rsidRPr="00CB2647" w:rsidRDefault="00434387" w:rsidP="00434387">
      <w:r w:rsidRPr="00CB2647">
        <w:tab/>
      </w:r>
      <w:r w:rsidR="009517A6" w:rsidRPr="00CB2647">
        <w:t>İlk başarılı İVF uygulaması 1978’te Dr.Robert Edwards ve Dr.Patrick Stepto</w:t>
      </w:r>
      <w:r w:rsidR="00CC45AF" w:rsidRPr="00CB2647">
        <w:t>e tarafından uygulanmıştır.</w:t>
      </w:r>
      <w:r w:rsidR="00394A27">
        <w:t xml:space="preserve"> </w:t>
      </w:r>
      <w:r w:rsidR="00CC45AF" w:rsidRPr="00CB2647">
        <w:t>İlk uygulamalarda oositler genel anestezi altında abdominal yoldan laparoskopik olarak toplanmıştır.</w:t>
      </w:r>
      <w:r w:rsidR="00924705" w:rsidRPr="00CB2647">
        <w:t>Ameliyathane şartları gerektirmesi,genel anesteziye bağlı riskler meydana ge</w:t>
      </w:r>
      <w:r w:rsidR="001C3249" w:rsidRPr="00CB2647">
        <w:t>lmesi nedeniyle daha az invazif</w:t>
      </w:r>
      <w:r w:rsidR="00924705" w:rsidRPr="00CB2647">
        <w:t>,daha az riskli yöntemlerin araşt</w:t>
      </w:r>
      <w:r w:rsidR="001358F1" w:rsidRPr="00CB2647">
        <w:t>ırılmasını gündeme getirmiştir(5</w:t>
      </w:r>
      <w:r w:rsidR="00924705" w:rsidRPr="00CB2647">
        <w:t>).</w:t>
      </w:r>
      <w:r w:rsidR="004C5DE2" w:rsidRPr="00CB2647">
        <w:t xml:space="preserve">Transvajinal ultrasonografi ile oosit toplama işlemi ilk olarak 1985 yıllındaWickland ve arkadaşları tarafından uygulanarak İVF tedavisinde yumurta toplama işleminde </w:t>
      </w:r>
      <w:r w:rsidR="00B17E03" w:rsidRPr="00CB2647">
        <w:t>standart işlem haline getirilmiştir</w:t>
      </w:r>
      <w:r w:rsidR="001358F1" w:rsidRPr="00CB2647">
        <w:t>(6</w:t>
      </w:r>
      <w:r w:rsidR="000D3F0E" w:rsidRPr="00CB2647">
        <w:t>).</w:t>
      </w:r>
      <w:r w:rsidR="008A12CE" w:rsidRPr="00CB2647">
        <w:t xml:space="preserve">Bunun </w:t>
      </w:r>
      <w:r w:rsidR="004A30F3" w:rsidRPr="00CB2647">
        <w:t>yanı</w:t>
      </w:r>
      <w:r w:rsidR="008A12CE" w:rsidRPr="00CB2647">
        <w:t>sıra transa</w:t>
      </w:r>
      <w:r w:rsidR="001C3249" w:rsidRPr="00CB2647">
        <w:t>bdominal, transvezikal ve transmy</w:t>
      </w:r>
      <w:r w:rsidR="008A12CE" w:rsidRPr="00CB2647">
        <w:t>ometrial oosit toplama yöntemleride tanımla</w:t>
      </w:r>
      <w:r w:rsidR="00B17E03" w:rsidRPr="00CB2647">
        <w:t>n</w:t>
      </w:r>
      <w:r w:rsidR="008A12CE" w:rsidRPr="00CB2647">
        <w:t>mıştır fakat transvajinal yöntem kadar yaygın kullanılmamıştır.</w:t>
      </w:r>
      <w:r w:rsidR="00BF1CFA" w:rsidRPr="00CB2647">
        <w:t>Transvajinal yoldan follikülere daha kolay ulaşabilme ve pelvik damarları daha kolay görülebilmesi tr</w:t>
      </w:r>
      <w:r w:rsidR="006C7F60" w:rsidRPr="00CB2647">
        <w:t>an</w:t>
      </w:r>
      <w:r w:rsidR="00BF1CFA" w:rsidRPr="00CB2647">
        <w:t>svajinal yolun sağladığı avantajlar arasında sayılmaktadır.</w:t>
      </w:r>
      <w:r w:rsidR="00A9653A" w:rsidRPr="00CB2647">
        <w:t>Overlerin pelvis dışında olduğu, uterusun arkasına yerleşmiş olması veya ileri der</w:t>
      </w:r>
      <w:r w:rsidRPr="00CB2647">
        <w:t>e</w:t>
      </w:r>
      <w:r w:rsidR="00A9653A" w:rsidRPr="00CB2647">
        <w:t xml:space="preserve">cede mobil olması halinde </w:t>
      </w:r>
      <w:r w:rsidR="001358F1" w:rsidRPr="00CB2647">
        <w:t xml:space="preserve">laparaskopi kullanılabilmektedir fakat </w:t>
      </w:r>
      <w:r w:rsidR="00A9653A" w:rsidRPr="00CB2647">
        <w:t>günümüzde</w:t>
      </w:r>
      <w:r w:rsidR="001358F1" w:rsidRPr="00CB2647">
        <w:t xml:space="preserve"> pratikte kullanılan bir yöntem değildir</w:t>
      </w:r>
      <w:r w:rsidR="00A9653A" w:rsidRPr="00CB2647">
        <w:t>.</w:t>
      </w:r>
      <w:r w:rsidR="001358F1" w:rsidRPr="00CB2647">
        <w:t xml:space="preserve"> Laparaskopik yöntemle t</w:t>
      </w:r>
      <w:r w:rsidR="00736E83" w:rsidRPr="00CB2647">
        <w:t>ransvajinal yola yakın sayıda oosit toplandığı ve gebelik sonuçları arasında fark</w:t>
      </w:r>
      <w:r w:rsidR="001358F1" w:rsidRPr="00CB2647">
        <w:t xml:space="preserve"> izlenmediği tespit edilmiştir(7</w:t>
      </w:r>
      <w:r w:rsidR="00736E83" w:rsidRPr="00CB2647">
        <w:t>)</w:t>
      </w:r>
      <w:r w:rsidR="00B17E03" w:rsidRPr="00CB2647">
        <w:t>.</w:t>
      </w:r>
    </w:p>
    <w:p w:rsidR="00434387" w:rsidRPr="00CB2647" w:rsidRDefault="00434387" w:rsidP="00434387"/>
    <w:p w:rsidR="000029CF" w:rsidRPr="00CB2647" w:rsidRDefault="00151538" w:rsidP="00434387">
      <w:pPr>
        <w:pStyle w:val="Balk2"/>
      </w:pPr>
      <w:bookmarkStart w:id="11" w:name="_Toc432062023"/>
      <w:r w:rsidRPr="00CB2647">
        <w:t>2.1</w:t>
      </w:r>
      <w:r w:rsidR="00434387" w:rsidRPr="00CB2647">
        <w:t>.</w:t>
      </w:r>
      <w:r w:rsidR="000029CF" w:rsidRPr="00CB2647">
        <w:t xml:space="preserve">İVF </w:t>
      </w:r>
      <w:r w:rsidRPr="00CB2647">
        <w:t>Endikasyonları</w:t>
      </w:r>
      <w:bookmarkEnd w:id="11"/>
    </w:p>
    <w:p w:rsidR="000029CF" w:rsidRPr="00CB2647" w:rsidRDefault="00434387" w:rsidP="00434387">
      <w:r w:rsidRPr="00CB2647">
        <w:tab/>
      </w:r>
      <w:r w:rsidR="000029CF" w:rsidRPr="00CB2647">
        <w:t>-Geçirilmiş PİD</w:t>
      </w:r>
      <w:r w:rsidR="00AA7299" w:rsidRPr="00CB2647">
        <w:t>’ye bağlı tubal faktör</w:t>
      </w:r>
    </w:p>
    <w:p w:rsidR="000029CF" w:rsidRPr="00CB2647" w:rsidRDefault="00434387" w:rsidP="00434387">
      <w:r w:rsidRPr="00CB2647">
        <w:tab/>
      </w:r>
      <w:r w:rsidR="000029CF" w:rsidRPr="00CB2647">
        <w:t>-İleri evre endometriozise bağlı şiddetli tubal faktör varlığı</w:t>
      </w:r>
    </w:p>
    <w:p w:rsidR="000029CF" w:rsidRPr="00CB2647" w:rsidRDefault="00434387" w:rsidP="00434387">
      <w:r w:rsidRPr="00CB2647">
        <w:tab/>
      </w:r>
      <w:r w:rsidR="000029CF" w:rsidRPr="00CB2647">
        <w:t>-Erkek faktörü</w:t>
      </w:r>
    </w:p>
    <w:p w:rsidR="000029CF" w:rsidRPr="00CB2647" w:rsidRDefault="00434387" w:rsidP="00434387">
      <w:r w:rsidRPr="00CB2647">
        <w:tab/>
      </w:r>
      <w:r w:rsidR="000029CF" w:rsidRPr="00CB2647">
        <w:t>-Birden</w:t>
      </w:r>
      <w:r w:rsidR="00B2283B" w:rsidRPr="00CB2647">
        <w:t xml:space="preserve"> çok infertilite faktörü varlığı</w:t>
      </w:r>
    </w:p>
    <w:p w:rsidR="000029CF" w:rsidRPr="00CB2647" w:rsidRDefault="00434387" w:rsidP="00434387">
      <w:r w:rsidRPr="00CB2647">
        <w:tab/>
      </w:r>
      <w:r w:rsidR="000029CF" w:rsidRPr="00CB2647">
        <w:t>-Açıklanamayan infertilite</w:t>
      </w:r>
    </w:p>
    <w:p w:rsidR="00B2283B" w:rsidRPr="00CB2647" w:rsidRDefault="00434387" w:rsidP="00434387">
      <w:r w:rsidRPr="00CB2647">
        <w:tab/>
      </w:r>
      <w:r w:rsidR="00B2283B" w:rsidRPr="00CB2647">
        <w:t>-Normal overi olan fakat fonksiyonel uterusu olmayan kadınlarda,</w:t>
      </w:r>
      <w:r w:rsidR="00394A27">
        <w:t xml:space="preserve"> </w:t>
      </w:r>
      <w:r w:rsidR="00B2283B" w:rsidRPr="00CB2647">
        <w:t>taşıyıcı annelik ama</w:t>
      </w:r>
      <w:r w:rsidR="00B776A2" w:rsidRPr="00CB2647">
        <w:t>cıylada İVF uygulanabilmektedir.</w:t>
      </w:r>
    </w:p>
    <w:p w:rsidR="00B2283B" w:rsidRPr="00CB2647" w:rsidRDefault="00434387" w:rsidP="00434387">
      <w:r w:rsidRPr="00CB2647">
        <w:tab/>
      </w:r>
      <w:r w:rsidR="00B2283B" w:rsidRPr="00CB2647">
        <w:t>Yardımla üreme teknolojisini kullanan yaklaşık %10 kadar kad</w:t>
      </w:r>
      <w:r w:rsidR="00BF0BDE" w:rsidRPr="00CB2647">
        <w:t>ı</w:t>
      </w:r>
      <w:r w:rsidR="00DB79BD" w:rsidRPr="00CB2647">
        <w:t>n kötü over rezervine sahiptir(8</w:t>
      </w:r>
      <w:r w:rsidR="00BF0BDE" w:rsidRPr="00CB2647">
        <w:t>).</w:t>
      </w:r>
    </w:p>
    <w:p w:rsidR="008D23B5" w:rsidRPr="00CB2647" w:rsidRDefault="008D23B5" w:rsidP="00434387"/>
    <w:p w:rsidR="00B2283B" w:rsidRPr="00CB2647" w:rsidRDefault="00434387" w:rsidP="00434387">
      <w:pPr>
        <w:pStyle w:val="Balk2"/>
      </w:pPr>
      <w:bookmarkStart w:id="12" w:name="_Toc432062024"/>
      <w:r w:rsidRPr="00CB2647">
        <w:lastRenderedPageBreak/>
        <w:t xml:space="preserve">2.2 </w:t>
      </w:r>
      <w:r w:rsidR="00B2283B" w:rsidRPr="00CB2647">
        <w:t xml:space="preserve">Kötü </w:t>
      </w:r>
      <w:r w:rsidRPr="00CB2647">
        <w:t>Over Rezervi:</w:t>
      </w:r>
      <w:bookmarkEnd w:id="12"/>
    </w:p>
    <w:p w:rsidR="00B2283B" w:rsidRPr="00CB2647" w:rsidRDefault="00EE36C5" w:rsidP="00EE36C5">
      <w:r w:rsidRPr="00CB2647">
        <w:tab/>
      </w:r>
      <w:r w:rsidR="000E17F3" w:rsidRPr="00CB2647">
        <w:t xml:space="preserve">Üreme endokrinolojisinde </w:t>
      </w:r>
      <w:r w:rsidR="00B17E03" w:rsidRPr="00CB2647">
        <w:t xml:space="preserve">kötü over rezervi, bu hastaların </w:t>
      </w:r>
      <w:r w:rsidR="000E17F3" w:rsidRPr="00CB2647">
        <w:t xml:space="preserve">ekzojen gonadotropinlerle yapılan stimülasyona </w:t>
      </w:r>
      <w:r w:rsidR="005C43A3" w:rsidRPr="00CB2647">
        <w:t xml:space="preserve">zayıf yanıt vermesi nedeniyle </w:t>
      </w:r>
      <w:r w:rsidR="000E17F3" w:rsidRPr="00CB2647">
        <w:t>en büyük sorunlardan birini teşkil etmektedir.</w:t>
      </w:r>
      <w:r w:rsidR="00394A27">
        <w:t xml:space="preserve"> </w:t>
      </w:r>
      <w:r w:rsidR="000E17F3" w:rsidRPr="00CB2647">
        <w:t>Kötü over rezerv prevala</w:t>
      </w:r>
      <w:r w:rsidR="00BB3EFD" w:rsidRPr="00CB2647">
        <w:t>nsı %8-15 olarak bildirilmiştir(9).</w:t>
      </w:r>
      <w:r w:rsidR="00394A27">
        <w:t xml:space="preserve"> </w:t>
      </w:r>
      <w:r w:rsidR="000E17F3" w:rsidRPr="00CB2647">
        <w:t>Preva</w:t>
      </w:r>
      <w:r w:rsidR="001C3249" w:rsidRPr="00CB2647">
        <w:t>lans yaşla birlikte artmakta olup</w:t>
      </w:r>
      <w:r w:rsidR="00B17E03" w:rsidRPr="00CB2647">
        <w:t>,</w:t>
      </w:r>
      <w:r w:rsidR="000E17F3" w:rsidRPr="00CB2647">
        <w:t xml:space="preserve">40 yaş üst kadınlarda prevalans &gt;%50’dir(Şekil </w:t>
      </w:r>
      <w:r w:rsidR="00903ED9">
        <w:t>2.</w:t>
      </w:r>
      <w:r w:rsidR="000E17F3" w:rsidRPr="00CB2647">
        <w:t>1).</w:t>
      </w:r>
      <w:r w:rsidR="00394A27">
        <w:t xml:space="preserve"> </w:t>
      </w:r>
      <w:r w:rsidR="00810CA4" w:rsidRPr="00CB2647">
        <w:t>Bu yaştaki kadınların bir kısmında hala beklenenden</w:t>
      </w:r>
      <w:r w:rsidR="000E17F3" w:rsidRPr="00CB2647">
        <w:t xml:space="preserve"> fazla oosit elde edilebilirken bir kısım genç kadında tam tersi olabilmektedir.Bu da bize genç yaşın aslında kötü over rezervine karşı koruyucu olmadığın</w:t>
      </w:r>
      <w:r w:rsidR="00BB3EFD" w:rsidRPr="00CB2647">
        <w:t>ı göstermektedir(10</w:t>
      </w:r>
      <w:r w:rsidR="000E17F3" w:rsidRPr="00CB2647">
        <w:t>)</w:t>
      </w:r>
      <w:r w:rsidR="001C3249" w:rsidRPr="00CB2647">
        <w:t>.</w:t>
      </w:r>
    </w:p>
    <w:p w:rsidR="00EE36C5" w:rsidRPr="00CB2647" w:rsidRDefault="00EE36C5" w:rsidP="00EE36C5"/>
    <w:p w:rsidR="00EE36C5" w:rsidRPr="00CB2647" w:rsidRDefault="007A105C" w:rsidP="00EE36C5">
      <w:r>
        <w:tab/>
      </w:r>
      <w:r w:rsidR="00EE36C5" w:rsidRPr="00CB2647">
        <w:t xml:space="preserve">Şekil </w:t>
      </w:r>
      <w:r w:rsidR="00903ED9">
        <w:t>2.</w:t>
      </w:r>
      <w:r w:rsidR="00EE36C5" w:rsidRPr="00CB2647">
        <w:t>1: Ocak 2004-Aralık 2009 Arasında Bologna ile Modena Üniversitesi Tüp Bebek Ünitesinde 3825 Hasta Üzerinde Gerçekleştirilen Çalışma</w:t>
      </w:r>
    </w:p>
    <w:p w:rsidR="00301312" w:rsidRPr="00CB2647" w:rsidRDefault="00301312" w:rsidP="00EE36C5">
      <w:pPr>
        <w:jc w:val="center"/>
      </w:pPr>
      <w:r w:rsidRPr="00CB2647">
        <w:rPr>
          <w:noProof/>
        </w:rPr>
        <w:drawing>
          <wp:inline distT="0" distB="0" distL="0" distR="0">
            <wp:extent cx="5329101" cy="2606722"/>
            <wp:effectExtent l="0" t="0" r="5080" b="3175"/>
            <wp:docPr id="6"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5329765" cy="2607047"/>
                    </a:xfrm>
                    <a:prstGeom prst="rect">
                      <a:avLst/>
                    </a:prstGeom>
                    <a:noFill/>
                    <a:ln w="9525">
                      <a:noFill/>
                      <a:miter lim="800000"/>
                      <a:headEnd/>
                      <a:tailEnd/>
                    </a:ln>
                  </pic:spPr>
                </pic:pic>
              </a:graphicData>
            </a:graphic>
          </wp:inline>
        </w:drawing>
      </w:r>
    </w:p>
    <w:p w:rsidR="00EE36C5" w:rsidRPr="00CB2647" w:rsidRDefault="00EE36C5" w:rsidP="00EE36C5">
      <w:pPr>
        <w:jc w:val="center"/>
      </w:pPr>
    </w:p>
    <w:p w:rsidR="003B5756" w:rsidRPr="00CB2647" w:rsidRDefault="00EE36C5" w:rsidP="00EE36C5">
      <w:r w:rsidRPr="00CB2647">
        <w:tab/>
        <w:t xml:space="preserve">Şekil </w:t>
      </w:r>
      <w:r w:rsidR="00BF252D" w:rsidRPr="00CB2647">
        <w:t>1</w:t>
      </w:r>
      <w:r w:rsidR="0043208B" w:rsidRPr="00CB2647">
        <w:t>Ocak 2004-Aralık 2009 arasında Bol</w:t>
      </w:r>
      <w:r w:rsidR="0071713B" w:rsidRPr="00CB2647">
        <w:t xml:space="preserve">ogna ile Modena Üniversitesi tüp bebek ünitesinde </w:t>
      </w:r>
      <w:r w:rsidR="0043208B" w:rsidRPr="00CB2647">
        <w:t>3825 hasta üzerinde gerçekleştirilen çalışma k</w:t>
      </w:r>
      <w:r w:rsidR="00301312" w:rsidRPr="00CB2647">
        <w:t>ötü over rezervi ile yaş arasında olan ilişki</w:t>
      </w:r>
      <w:r w:rsidR="0043208B" w:rsidRPr="00CB2647">
        <w:t>yigöstermektedir.</w:t>
      </w:r>
    </w:p>
    <w:p w:rsidR="009270D8" w:rsidRPr="00CB2647" w:rsidRDefault="009270D8" w:rsidP="00EE36C5"/>
    <w:p w:rsidR="000A4A98" w:rsidRPr="00CB2647" w:rsidRDefault="007A105C" w:rsidP="00EE36C5">
      <w:pPr>
        <w:pStyle w:val="Balk3"/>
      </w:pPr>
      <w:bookmarkStart w:id="13" w:name="_Toc432062025"/>
      <w:r w:rsidRPr="00CB2647">
        <w:t xml:space="preserve">2.2.1. </w:t>
      </w:r>
      <w:r w:rsidR="000A4A98" w:rsidRPr="00CB2647">
        <w:t xml:space="preserve">Kötü </w:t>
      </w:r>
      <w:r w:rsidRPr="00CB2647">
        <w:t>Over Rezerv Tanısı</w:t>
      </w:r>
      <w:bookmarkEnd w:id="13"/>
    </w:p>
    <w:p w:rsidR="004F140E" w:rsidRPr="00CB2647" w:rsidRDefault="00EE36C5" w:rsidP="00EE36C5">
      <w:r w:rsidRPr="00CB2647">
        <w:tab/>
      </w:r>
      <w:r w:rsidR="004F140E" w:rsidRPr="00CB2647">
        <w:t>Bu konudaki görüşler çok farklı olduğundan dolayı kötü over rezervini belirlemede birçok yazar tar</w:t>
      </w:r>
      <w:r w:rsidR="00152139" w:rsidRPr="00CB2647">
        <w:t>a</w:t>
      </w:r>
      <w:r w:rsidR="004F140E" w:rsidRPr="00CB2647">
        <w:t>fından farklı kriterler</w:t>
      </w:r>
      <w:r w:rsidR="00394A27">
        <w:t xml:space="preserve"> </w:t>
      </w:r>
      <w:r w:rsidR="00B42F74" w:rsidRPr="00CB2647">
        <w:t>kullan</w:t>
      </w:r>
      <w:r w:rsidR="00152139" w:rsidRPr="00CB2647">
        <w:t>ıl</w:t>
      </w:r>
      <w:r w:rsidR="005C43A3" w:rsidRPr="00CB2647">
        <w:t>mıştır</w:t>
      </w:r>
      <w:r w:rsidR="00B42F74" w:rsidRPr="00CB2647">
        <w:t>.</w:t>
      </w:r>
      <w:r w:rsidR="004F140E" w:rsidRPr="00CB2647">
        <w:t xml:space="preserve">En önemli belirteçlerden birinin </w:t>
      </w:r>
      <w:r w:rsidR="001D645F" w:rsidRPr="00CB2647">
        <w:t>serum</w:t>
      </w:r>
      <w:r w:rsidR="004F140E" w:rsidRPr="00CB2647">
        <w:t xml:space="preserve"> E2 seviyesinin &lt;300</w:t>
      </w:r>
      <w:r w:rsidR="00B42F74" w:rsidRPr="00CB2647">
        <w:t xml:space="preserve">pg/ml </w:t>
      </w:r>
      <w:r w:rsidR="004F140E" w:rsidRPr="00CB2647">
        <w:t>ila &lt;500</w:t>
      </w:r>
      <w:r w:rsidR="00B42F74" w:rsidRPr="00CB2647">
        <w:t xml:space="preserve">pg/ml </w:t>
      </w:r>
      <w:r w:rsidR="004F140E" w:rsidRPr="00CB2647">
        <w:t>arasında olması</w:t>
      </w:r>
      <w:r w:rsidR="00BB3EFD" w:rsidRPr="00CB2647">
        <w:t>(11</w:t>
      </w:r>
      <w:r w:rsidRPr="00CB2647">
        <w:t>-</w:t>
      </w:r>
      <w:r w:rsidR="00BB3EFD" w:rsidRPr="00CB2647">
        <w:t>13</w:t>
      </w:r>
      <w:r w:rsidR="001C3249" w:rsidRPr="00CB2647">
        <w:t xml:space="preserve">) </w:t>
      </w:r>
      <w:r w:rsidR="00B42F74" w:rsidRPr="00CB2647">
        <w:t>yada</w:t>
      </w:r>
      <w:r w:rsidR="001D645F" w:rsidRPr="00CB2647">
        <w:t xml:space="preserve"> ovulasyon indüksiyonunun </w:t>
      </w:r>
      <w:r w:rsidR="00B42F74" w:rsidRPr="00CB2647">
        <w:t xml:space="preserve">5.gününde </w:t>
      </w:r>
      <w:r w:rsidR="005C43A3" w:rsidRPr="00CB2647">
        <w:t xml:space="preserve">E2 seviyesinin </w:t>
      </w:r>
      <w:r w:rsidR="00B42F74" w:rsidRPr="00CB2647">
        <w:t xml:space="preserve">&lt;100 pg/ml’nin </w:t>
      </w:r>
      <w:r w:rsidR="005C43A3" w:rsidRPr="00CB2647">
        <w:t>altında olması savunulmuştur</w:t>
      </w:r>
      <w:r w:rsidR="00BB3EFD" w:rsidRPr="00CB2647">
        <w:t>(14</w:t>
      </w:r>
      <w:r w:rsidR="00B42F74" w:rsidRPr="00CB2647">
        <w:t>)</w:t>
      </w:r>
      <w:r w:rsidR="005C43A3" w:rsidRPr="00CB2647">
        <w:t>.</w:t>
      </w:r>
    </w:p>
    <w:p w:rsidR="00C25251" w:rsidRPr="00CB2647" w:rsidRDefault="00EE36C5" w:rsidP="00EE36C5">
      <w:r w:rsidRPr="00CB2647">
        <w:lastRenderedPageBreak/>
        <w:tab/>
      </w:r>
      <w:r w:rsidR="00C25251" w:rsidRPr="00CB2647">
        <w:t>Standart doz ovaryan stimülasyon protokolü sonrası gelişen folikül sayısı ve/veya toplanan oosit sayısı kullanılan iki önemli kriterdir fakat sayı olarak yazardan yazara değişiklik göste</w:t>
      </w:r>
      <w:r w:rsidR="008119C4" w:rsidRPr="00CB2647">
        <w:t>rmektedir.</w:t>
      </w:r>
      <w:r w:rsidR="00394A27">
        <w:t xml:space="preserve"> </w:t>
      </w:r>
      <w:r w:rsidR="008119C4" w:rsidRPr="00CB2647">
        <w:t xml:space="preserve">hCG günü </w:t>
      </w:r>
      <w:r w:rsidR="00C25251" w:rsidRPr="00CB2647">
        <w:t>6’dan az</w:t>
      </w:r>
      <w:r w:rsidR="001D645F" w:rsidRPr="00CB2647">
        <w:t xml:space="preserve"> matür</w:t>
      </w:r>
      <w:r w:rsidR="00C25251" w:rsidRPr="00CB2647">
        <w:t xml:space="preserve"> follikül</w:t>
      </w:r>
      <w:r w:rsidR="001D645F" w:rsidRPr="00CB2647">
        <w:t xml:space="preserve"> sayısının olması</w:t>
      </w:r>
      <w:r w:rsidR="00BB3EFD" w:rsidRPr="00CB2647">
        <w:t xml:space="preserve"> (15,16</w:t>
      </w:r>
      <w:r w:rsidR="00BF0BDE" w:rsidRPr="00CB2647">
        <w:t xml:space="preserve">) </w:t>
      </w:r>
      <w:r w:rsidR="00C25251" w:rsidRPr="00CB2647">
        <w:t>veya yumurta toplama gününde 3’</w:t>
      </w:r>
      <w:r w:rsidR="0036551D" w:rsidRPr="00CB2647">
        <w:t xml:space="preserve">ten </w:t>
      </w:r>
      <w:r w:rsidR="00C25251" w:rsidRPr="00CB2647">
        <w:t>v</w:t>
      </w:r>
      <w:r w:rsidR="0036551D" w:rsidRPr="00CB2647">
        <w:t>eya 5’ten az oosit toplanması olara</w:t>
      </w:r>
      <w:r w:rsidR="00810CA4" w:rsidRPr="00CB2647">
        <w:t>k görüş farklılığı bildirilmiştir</w:t>
      </w:r>
      <w:r w:rsidR="00BB3EFD" w:rsidRPr="00CB2647">
        <w:t>(17</w:t>
      </w:r>
      <w:r w:rsidRPr="00CB2647">
        <w:t>-</w:t>
      </w:r>
      <w:r w:rsidR="0036551D" w:rsidRPr="00CB2647">
        <w:t>1</w:t>
      </w:r>
      <w:r w:rsidR="00BB3EFD" w:rsidRPr="00CB2647">
        <w:t>9</w:t>
      </w:r>
      <w:r w:rsidR="0036551D" w:rsidRPr="00CB2647">
        <w:t xml:space="preserve">).Kötü over rezerv tanısında kullanılan diğer kriterlerden </w:t>
      </w:r>
      <w:r w:rsidR="001C3249" w:rsidRPr="00CB2647">
        <w:t xml:space="preserve">bazıları ise </w:t>
      </w:r>
      <w:r w:rsidR="00B125C3" w:rsidRPr="00CB2647">
        <w:t>iptal edilen</w:t>
      </w:r>
      <w:r w:rsidR="001C3249" w:rsidRPr="00CB2647">
        <w:t xml:space="preserve"> en az bir</w:t>
      </w:r>
      <w:r w:rsidR="00BB3EFD" w:rsidRPr="00CB2647">
        <w:t xml:space="preserve"> İVF siklüsünün olması(20</w:t>
      </w:r>
      <w:r w:rsidR="00B125C3" w:rsidRPr="00CB2647">
        <w:t>),kullan</w:t>
      </w:r>
      <w:r w:rsidR="001C3249" w:rsidRPr="00CB2647">
        <w:t xml:space="preserve">ılan FSH </w:t>
      </w:r>
      <w:r w:rsidR="00BB3EFD" w:rsidRPr="00CB2647">
        <w:t>dozunun artması(21</w:t>
      </w:r>
      <w:r w:rsidR="00B125C3" w:rsidRPr="00CB2647">
        <w:t>),günlük kullanılan gonadotropin dozunun artması(&gt;300 IU/gün)ve uza</w:t>
      </w:r>
      <w:r w:rsidR="00BD03FF" w:rsidRPr="00CB2647">
        <w:t>mış gonadotropin stimülasyonudur</w:t>
      </w:r>
      <w:r w:rsidR="00BB3EFD" w:rsidRPr="00CB2647">
        <w:t>(22</w:t>
      </w:r>
      <w:r w:rsidR="00B125C3" w:rsidRPr="00CB2647">
        <w:t>).</w:t>
      </w:r>
    </w:p>
    <w:p w:rsidR="00002A0A" w:rsidRPr="00CB2647" w:rsidRDefault="00EE36C5" w:rsidP="00EE36C5">
      <w:r w:rsidRPr="00CB2647">
        <w:tab/>
      </w:r>
      <w:r w:rsidR="00002A0A" w:rsidRPr="00CB2647">
        <w:t>Bu kadar çok görüş farklılığı olması ve bu konuda standardizasyon ihtiyacı olması nedeniyle 2000 yılından bu yana bir çok kriter kullanılarak asıl belirleyici olacak olan kriterler konusunda</w:t>
      </w:r>
      <w:r w:rsidR="003B2AE0" w:rsidRPr="00CB2647">
        <w:t xml:space="preserve"> görüş</w:t>
      </w:r>
      <w:r w:rsidR="001C3249" w:rsidRPr="00CB2647">
        <w:t xml:space="preserve"> birliğine ulaşılmaya çalışılmıştır. </w:t>
      </w:r>
      <w:r w:rsidR="003B2AE0" w:rsidRPr="00CB2647">
        <w:t>B</w:t>
      </w:r>
      <w:r w:rsidR="00393FEE" w:rsidRPr="00CB2647">
        <w:t>elirleyici kriterlerden</w:t>
      </w:r>
      <w:r w:rsidR="003B2AE0" w:rsidRPr="00CB2647">
        <w:t xml:space="preserve"> en çok kullanılan </w:t>
      </w:r>
      <w:r w:rsidR="00393FEE" w:rsidRPr="00CB2647">
        <w:t>olanlar</w:t>
      </w:r>
      <w:r w:rsidR="003B2AE0" w:rsidRPr="00CB2647">
        <w:t xml:space="preserve"> arasında ileri anne </w:t>
      </w:r>
      <w:r w:rsidR="00393FEE" w:rsidRPr="00CB2647">
        <w:t>yaşı,</w:t>
      </w:r>
      <w:r w:rsidR="00394A27">
        <w:t xml:space="preserve"> </w:t>
      </w:r>
      <w:r w:rsidR="003B2AE0" w:rsidRPr="00CB2647">
        <w:t>anormal ovaryan testler ve bi</w:t>
      </w:r>
      <w:r w:rsidR="00393FEE" w:rsidRPr="00CB2647">
        <w:t>linen kötü o</w:t>
      </w:r>
      <w:r w:rsidR="005C43A3" w:rsidRPr="00CB2647">
        <w:t xml:space="preserve">ver rezervin olması yer </w:t>
      </w:r>
      <w:r w:rsidR="00393FEE" w:rsidRPr="00CB2647">
        <w:t>almaktadır.</w:t>
      </w:r>
    </w:p>
    <w:p w:rsidR="001D645F" w:rsidRPr="00CB2647" w:rsidRDefault="001D645F" w:rsidP="00EE36C5"/>
    <w:p w:rsidR="001D645F" w:rsidRPr="00CB2647" w:rsidRDefault="00EE36C5" w:rsidP="00EE36C5">
      <w:pPr>
        <w:pStyle w:val="Balk3"/>
      </w:pPr>
      <w:bookmarkStart w:id="14" w:name="_Toc432062026"/>
      <w:r w:rsidRPr="00CB2647">
        <w:t xml:space="preserve">2.2.2. </w:t>
      </w:r>
      <w:r w:rsidR="001D645F" w:rsidRPr="00CB2647">
        <w:t xml:space="preserve">Kötü </w:t>
      </w:r>
      <w:r w:rsidRPr="00CB2647">
        <w:t>Ovaryan Rezervde Etyoloji</w:t>
      </w:r>
      <w:bookmarkEnd w:id="14"/>
    </w:p>
    <w:p w:rsidR="00706AA8" w:rsidRPr="00CB2647" w:rsidRDefault="00EE36C5" w:rsidP="00EE36C5">
      <w:r w:rsidRPr="00CB2647">
        <w:tab/>
      </w:r>
      <w:r w:rsidR="001D645F" w:rsidRPr="00CB2647">
        <w:t>Sayısal veya yapısal kromozomal aberasyonlar,</w:t>
      </w:r>
      <w:r w:rsidR="005C43A3" w:rsidRPr="00CB2647">
        <w:t xml:space="preserve"> spesifik </w:t>
      </w:r>
      <w:r w:rsidR="001D645F" w:rsidRPr="00CB2647">
        <w:t>genlerderdeki varyasyonlar veya mutasyonlar kötü over rezervli kadınlar</w:t>
      </w:r>
      <w:r w:rsidR="00706AA8" w:rsidRPr="00CB2647">
        <w:t>da nedenler arasında yer alabilmektedir</w:t>
      </w:r>
      <w:r w:rsidR="001D645F" w:rsidRPr="00CB2647">
        <w:t>.</w:t>
      </w:r>
      <w:r w:rsidR="00394A27">
        <w:t xml:space="preserve"> </w:t>
      </w:r>
      <w:r w:rsidR="001D645F" w:rsidRPr="00CB2647">
        <w:t xml:space="preserve">Bu gibi durumlar nedeniyle </w:t>
      </w:r>
      <w:r w:rsidR="00706AA8" w:rsidRPr="00CB2647">
        <w:t xml:space="preserve">erken </w:t>
      </w:r>
      <w:r w:rsidRPr="00CB2647">
        <w:t>menopoz</w:t>
      </w:r>
      <w:r w:rsidR="00706AA8" w:rsidRPr="00CB2647">
        <w:t xml:space="preserve"> ve ovülasyon indüksiyonuna verilen yetersiz </w:t>
      </w:r>
      <w:r w:rsidR="00BB3EFD" w:rsidRPr="00CB2647">
        <w:t>cevap meydana gelebilmektedir(23</w:t>
      </w:r>
      <w:r w:rsidR="00706AA8" w:rsidRPr="00CB2647">
        <w:t>).</w:t>
      </w:r>
    </w:p>
    <w:p w:rsidR="00706AA8" w:rsidRPr="00CB2647" w:rsidRDefault="00EE36C5" w:rsidP="00EE36C5">
      <w:r w:rsidRPr="00CB2647">
        <w:tab/>
      </w:r>
      <w:r w:rsidR="00082CC1" w:rsidRPr="00CB2647">
        <w:t>Nedenler arasında</w:t>
      </w:r>
      <w:r w:rsidR="006C2AD1" w:rsidRPr="00CB2647">
        <w:t xml:space="preserve"> overde endometrioması ve over kisti için cerrahi geçir</w:t>
      </w:r>
      <w:r w:rsidR="00BB3EFD" w:rsidRPr="00CB2647">
        <w:t>miş hastalarda yer almaktadır(24</w:t>
      </w:r>
      <w:r w:rsidR="006C2AD1" w:rsidRPr="00CB2647">
        <w:t>).</w:t>
      </w:r>
      <w:r w:rsidR="00082CC1" w:rsidRPr="00CB2647">
        <w:t>Aynı zamanda kemoterapötik alan özellikle alkilleyici ajan alan hastalarda ciddi derecede azalmış over r</w:t>
      </w:r>
      <w:r w:rsidR="00152139" w:rsidRPr="00CB2647">
        <w:t>ezervi meydana gelmekte hatta p</w:t>
      </w:r>
      <w:r w:rsidR="00082CC1" w:rsidRPr="00CB2647">
        <w:t>r</w:t>
      </w:r>
      <w:r w:rsidR="00152139" w:rsidRPr="00CB2647">
        <w:t>i</w:t>
      </w:r>
      <w:r w:rsidR="00082CC1" w:rsidRPr="00CB2647">
        <w:t>mer ovaryan y</w:t>
      </w:r>
      <w:r w:rsidR="001C3249" w:rsidRPr="00CB2647">
        <w:t>etmezliğe kadar gidebilmektedir</w:t>
      </w:r>
      <w:r w:rsidR="00BB1643" w:rsidRPr="00CB2647">
        <w:t xml:space="preserve"> (23</w:t>
      </w:r>
      <w:r w:rsidR="00082CC1" w:rsidRPr="00CB2647">
        <w:t>,2</w:t>
      </w:r>
      <w:r w:rsidR="00BB1643" w:rsidRPr="00CB2647">
        <w:t>5</w:t>
      </w:r>
      <w:r w:rsidR="00082CC1" w:rsidRPr="00CB2647">
        <w:t>)</w:t>
      </w:r>
      <w:r w:rsidR="001C3249" w:rsidRPr="00CB2647">
        <w:t>.</w:t>
      </w:r>
    </w:p>
    <w:p w:rsidR="003B5756" w:rsidRPr="00CB2647" w:rsidRDefault="003B5756" w:rsidP="00EE36C5"/>
    <w:p w:rsidR="00082CC1" w:rsidRPr="00CB2647" w:rsidRDefault="00EE36C5" w:rsidP="00EE36C5">
      <w:pPr>
        <w:pStyle w:val="Balk2"/>
      </w:pPr>
      <w:bookmarkStart w:id="15" w:name="_Toc432062027"/>
      <w:r w:rsidRPr="00CB2647">
        <w:t xml:space="preserve">2.3. </w:t>
      </w:r>
      <w:r w:rsidR="00224EFC" w:rsidRPr="00CB2647">
        <w:t xml:space="preserve">Over </w:t>
      </w:r>
      <w:r w:rsidRPr="00CB2647">
        <w:t>Rezerv Testleri</w:t>
      </w:r>
      <w:bookmarkEnd w:id="15"/>
    </w:p>
    <w:p w:rsidR="004E4A4A" w:rsidRPr="00CB2647" w:rsidRDefault="00EE36C5" w:rsidP="00EE36C5">
      <w:r w:rsidRPr="00CB2647">
        <w:tab/>
      </w:r>
      <w:r w:rsidR="003B5756" w:rsidRPr="00CB2647">
        <w:t>Yaş dışında diğer bazı parametrelerde over rezervini öngörmemizde bize yardımcı olabilir.</w:t>
      </w:r>
      <w:r w:rsidR="00394A27">
        <w:t xml:space="preserve"> </w:t>
      </w:r>
      <w:r w:rsidR="003B5756" w:rsidRPr="00CB2647">
        <w:t>Bunlar arasında FSH,i</w:t>
      </w:r>
      <w:r w:rsidR="001C3249" w:rsidRPr="00CB2647">
        <w:t>nhibin B,antral follikül sayısı</w:t>
      </w:r>
      <w:r w:rsidR="003B5756" w:rsidRPr="00CB2647">
        <w:t xml:space="preserve">,over volümü </w:t>
      </w:r>
      <w:r w:rsidR="00810CA4" w:rsidRPr="00CB2647">
        <w:t>ve Anti-Müllerian H</w:t>
      </w:r>
      <w:r w:rsidR="003B5756" w:rsidRPr="00CB2647">
        <w:t>ormon yer almaktadır</w:t>
      </w:r>
      <w:r w:rsidR="00BF252D" w:rsidRPr="00CB2647">
        <w:t>(2</w:t>
      </w:r>
      <w:r w:rsidR="00BB3EFD" w:rsidRPr="00CB2647">
        <w:t>6</w:t>
      </w:r>
      <w:r w:rsidR="00BF252D" w:rsidRPr="00CB2647">
        <w:t>)</w:t>
      </w:r>
      <w:r w:rsidR="003B5756" w:rsidRPr="00CB2647">
        <w:t>.</w:t>
      </w:r>
      <w:r w:rsidR="004E4A4A" w:rsidRPr="00CB2647">
        <w:t>E</w:t>
      </w:r>
      <w:r w:rsidR="00F962A6" w:rsidRPr="00CB2647">
        <w:t xml:space="preserve">n ideal ölçüm aslında primordial follikül ölçümü olmalıdır fakat pratik hayatta bu çok zordur çünkü primordial follikülden antral foliküle dönüşüm </w:t>
      </w:r>
      <w:r w:rsidR="00BB3EFD" w:rsidRPr="00CB2647">
        <w:t>6-8 ay sürmektedir(27,28</w:t>
      </w:r>
      <w:r w:rsidR="00BF252D" w:rsidRPr="00CB2647">
        <w:t>)</w:t>
      </w:r>
      <w:r w:rsidR="00810CA4" w:rsidRPr="00CB2647">
        <w:t>.</w:t>
      </w:r>
    </w:p>
    <w:p w:rsidR="004E4A4A" w:rsidRPr="00CB2647" w:rsidRDefault="00EE36C5" w:rsidP="00EE36C5">
      <w:r w:rsidRPr="00CB2647">
        <w:tab/>
      </w:r>
      <w:r w:rsidR="004E4A4A" w:rsidRPr="00CB2647">
        <w:t>Siklusun 3.günü ölçülen FSH değeri pratikte en çok kullanılan testlerden biridir.</w:t>
      </w:r>
      <w:r w:rsidR="00394A27">
        <w:t xml:space="preserve"> </w:t>
      </w:r>
      <w:r w:rsidR="004E4A4A" w:rsidRPr="00CB2647">
        <w:t>FSH seviyesi yaşla beraber</w:t>
      </w:r>
      <w:r w:rsidR="00301DA3" w:rsidRPr="00CB2647">
        <w:t xml:space="preserve"> artmakta olup en yüksek değere</w:t>
      </w:r>
      <w:r w:rsidR="004E4A4A" w:rsidRPr="00CB2647">
        <w:t xml:space="preserve"> menapozda</w:t>
      </w:r>
      <w:r w:rsidR="00301DA3" w:rsidRPr="00CB2647">
        <w:t xml:space="preserve"> ulaşmaktadır.</w:t>
      </w:r>
      <w:r w:rsidR="004B61C4" w:rsidRPr="00CB2647">
        <w:t>Bu yükselme erken antral folliküllerin azalmasına bağl</w:t>
      </w:r>
      <w:r w:rsidR="00B17E03" w:rsidRPr="00CB2647">
        <w:t xml:space="preserve">ı </w:t>
      </w:r>
      <w:r w:rsidR="004B61C4" w:rsidRPr="00CB2647">
        <w:t xml:space="preserve">inhibin A ve B’nin </w:t>
      </w:r>
      <w:r w:rsidR="004B61C4" w:rsidRPr="00CB2647">
        <w:lastRenderedPageBreak/>
        <w:t>negatif feedback etkisininde zamanla azalmasından kaynaklanmaktadır.</w:t>
      </w:r>
      <w:r w:rsidRPr="00CB2647">
        <w:t xml:space="preserve"> “</w:t>
      </w:r>
      <w:r w:rsidR="00301DA3" w:rsidRPr="00CB2647">
        <w:t>FSH 10IU/L den fazla olduğunda,</w:t>
      </w:r>
      <w:r w:rsidR="00394A27">
        <w:t xml:space="preserve"> </w:t>
      </w:r>
      <w:r w:rsidR="00301DA3" w:rsidRPr="00CB2647">
        <w:t>kötü over rezervini tahmin etmedeki</w:t>
      </w:r>
      <w:r w:rsidR="00CC3550" w:rsidRPr="00CB2647">
        <w:t xml:space="preserve"> spesifitesi oldukça yüksek(%80-</w:t>
      </w:r>
      <w:r w:rsidR="00301DA3" w:rsidRPr="00CB2647">
        <w:t>100) buna karşın sensit</w:t>
      </w:r>
      <w:r w:rsidR="00DB79BD" w:rsidRPr="00CB2647">
        <w:t>ivitesi ise düşüktür(%10-30)</w:t>
      </w:r>
      <w:r w:rsidRPr="00CB2647">
        <w:t xml:space="preserve">” </w:t>
      </w:r>
      <w:r w:rsidR="00DB79BD" w:rsidRPr="00CB2647">
        <w:t>(8</w:t>
      </w:r>
      <w:r w:rsidR="00301DA3" w:rsidRPr="00CB2647">
        <w:t>)</w:t>
      </w:r>
      <w:r w:rsidR="00B17E03" w:rsidRPr="00CB2647">
        <w:t>.</w:t>
      </w:r>
    </w:p>
    <w:p w:rsidR="00301DA3" w:rsidRPr="00CB2647" w:rsidRDefault="00EE36C5" w:rsidP="00EE36C5">
      <w:r w:rsidRPr="00CB2647">
        <w:tab/>
      </w:r>
      <w:r w:rsidR="00301DA3" w:rsidRPr="00CB2647">
        <w:t xml:space="preserve">İnhibin B ölçümüde kullanılan parametrelerden biridir ve over rezervini göstermede değerlidir&lt;45 pg/ml </w:t>
      </w:r>
      <w:r w:rsidR="00F80AA4" w:rsidRPr="00CB2647">
        <w:t xml:space="preserve">altında olması kötü over </w:t>
      </w:r>
      <w:r w:rsidR="00463D48" w:rsidRPr="00CB2647">
        <w:t>rezerv</w:t>
      </w:r>
      <w:r w:rsidR="00F80AA4" w:rsidRPr="00CB2647">
        <w:t xml:space="preserve"> göstergesi olabilmektedir</w:t>
      </w:r>
      <w:r w:rsidR="00BB3EFD" w:rsidRPr="00CB2647">
        <w:t>(29</w:t>
      </w:r>
      <w:r w:rsidR="00463D48" w:rsidRPr="00CB2647">
        <w:t>)</w:t>
      </w:r>
      <w:r w:rsidR="00B17E03" w:rsidRPr="00CB2647">
        <w:t>.</w:t>
      </w:r>
    </w:p>
    <w:p w:rsidR="005474E6" w:rsidRPr="00CB2647" w:rsidRDefault="00EE36C5" w:rsidP="00EE36C5">
      <w:r w:rsidRPr="00CB2647">
        <w:tab/>
      </w:r>
      <w:r w:rsidR="00011702" w:rsidRPr="00CB2647">
        <w:t>K</w:t>
      </w:r>
      <w:r w:rsidR="009F45BC" w:rsidRPr="00CB2647">
        <w:t xml:space="preserve">ötü over rezervini göstermede </w:t>
      </w:r>
      <w:r w:rsidR="00463D48" w:rsidRPr="00CB2647">
        <w:t>antral follikül sayısı ve AMH en yüksek sens</w:t>
      </w:r>
      <w:r w:rsidR="005C43A3" w:rsidRPr="00CB2647">
        <w:t>itivite ve spesifiteye sahiptir</w:t>
      </w:r>
      <w:r w:rsidR="009F45BC" w:rsidRPr="00CB2647">
        <w:t>.</w:t>
      </w:r>
      <w:r w:rsidR="00011702" w:rsidRPr="00CB2647">
        <w:t xml:space="preserve"> Ancak</w:t>
      </w:r>
      <w:r w:rsidR="009F45BC" w:rsidRPr="00CB2647">
        <w:t xml:space="preserve"> %10-20 gibi bir yalancı pozitiflik oranları vardır</w:t>
      </w:r>
      <w:r w:rsidR="00BB3EFD" w:rsidRPr="00CB2647">
        <w:t>(30,31</w:t>
      </w:r>
      <w:r w:rsidR="009F45BC" w:rsidRPr="00CB2647">
        <w:t>).</w:t>
      </w:r>
      <w:r w:rsidR="005474E6" w:rsidRPr="00CB2647">
        <w:t xml:space="preserve">AMH glikoprotein yapıda büyüme faktörüdür, granüloza hücreleri tarafından üretilir ve sentezi </w:t>
      </w:r>
      <w:r w:rsidR="005654C6" w:rsidRPr="00CB2647">
        <w:t>menopozda</w:t>
      </w:r>
      <w:r w:rsidR="005474E6" w:rsidRPr="00CB2647">
        <w:t xml:space="preserve"> durur.</w:t>
      </w:r>
      <w:r w:rsidR="00394A27">
        <w:t xml:space="preserve"> </w:t>
      </w:r>
      <w:r w:rsidR="005474E6" w:rsidRPr="00CB2647">
        <w:t>FSH’</w:t>
      </w:r>
      <w:r w:rsidR="00E00B3C" w:rsidRPr="00CB2647">
        <w:t>tan farklı</w:t>
      </w:r>
      <w:r w:rsidR="005474E6" w:rsidRPr="00CB2647">
        <w:t xml:space="preserve"> olarak sikluslar arasında ve siklus içinde en az değişikliğe sahip olduğundan </w:t>
      </w:r>
      <w:r w:rsidR="00E00B3C" w:rsidRPr="00CB2647">
        <w:t>en kullanışlı parametredir.</w:t>
      </w:r>
    </w:p>
    <w:p w:rsidR="008B7267" w:rsidRPr="00CB2647" w:rsidRDefault="00CC3550" w:rsidP="003B2AE0">
      <w:pPr>
        <w:rPr>
          <w:rFonts w:cs="Times New Roman"/>
          <w:szCs w:val="24"/>
        </w:rPr>
      </w:pPr>
      <w:r w:rsidRPr="00CB2647">
        <w:rPr>
          <w:rFonts w:cs="Times New Roman"/>
          <w:szCs w:val="24"/>
        </w:rPr>
        <w:t>Dinamik endokrin testler:</w:t>
      </w:r>
    </w:p>
    <w:p w:rsidR="00CC3550" w:rsidRPr="00CB2647" w:rsidRDefault="005654C6" w:rsidP="005654C6">
      <w:r w:rsidRPr="00CB2647">
        <w:tab/>
      </w:r>
      <w:r w:rsidR="00CC3550" w:rsidRPr="00CB2647">
        <w:t>i)Klomifen Sitrat Challenge Testi(CCCT):3.gü</w:t>
      </w:r>
      <w:r w:rsidR="00FF7550" w:rsidRPr="00CB2647">
        <w:t>n serum FSH ölçümünü takibe 5. v</w:t>
      </w:r>
      <w:r w:rsidR="00CC3550" w:rsidRPr="00CB2647">
        <w:t>e 9.gün arası 100 mg komifen sitrat verilmesine dayanmaktadır.</w:t>
      </w:r>
      <w:r w:rsidR="00394A27">
        <w:t xml:space="preserve"> </w:t>
      </w:r>
      <w:r w:rsidR="00CC3550" w:rsidRPr="00CB2647">
        <w:t xml:space="preserve">Normal rezervli hastalarda FSH folliküller tarafından üretilen inhibin tarafından baskılanır.Kötü rezervli hastalarda ise 3.gün ya da 10.günde FSH </w:t>
      </w:r>
      <w:r w:rsidR="001964DE" w:rsidRPr="00CB2647">
        <w:t>anormal olarak yükselmektedir</w:t>
      </w:r>
      <w:r w:rsidR="00BB3EFD" w:rsidRPr="00CB2647">
        <w:t>(32</w:t>
      </w:r>
      <w:r w:rsidR="00CC3550" w:rsidRPr="00CB2647">
        <w:t>)</w:t>
      </w:r>
      <w:r w:rsidR="00AF3A27" w:rsidRPr="00CB2647">
        <w:t>.</w:t>
      </w:r>
    </w:p>
    <w:p w:rsidR="00F83FB8" w:rsidRPr="00CB2647" w:rsidRDefault="005654C6" w:rsidP="005654C6">
      <w:r w:rsidRPr="00CB2647">
        <w:tab/>
      </w:r>
      <w:r w:rsidR="00F83FB8" w:rsidRPr="00CB2647">
        <w:t>ii)</w:t>
      </w:r>
      <w:r w:rsidR="00C215B3" w:rsidRPr="00CB2647">
        <w:t>GnRHa Stimülasyon Testi(GAST):GnRHa verildik</w:t>
      </w:r>
      <w:r w:rsidR="002A6579" w:rsidRPr="00CB2647">
        <w:t>t</w:t>
      </w:r>
      <w:r w:rsidR="00C215B3" w:rsidRPr="00CB2647">
        <w:t>en 2-3 gün sonra serum E</w:t>
      </w:r>
      <w:r w:rsidR="00C215B3" w:rsidRPr="00CB2647">
        <w:rPr>
          <w:sz w:val="16"/>
          <w:szCs w:val="16"/>
        </w:rPr>
        <w:t xml:space="preserve">2 </w:t>
      </w:r>
      <w:r w:rsidR="00C215B3" w:rsidRPr="00CB2647">
        <w:t>düzeyi ölçülür.</w:t>
      </w:r>
      <w:r w:rsidR="00394A27">
        <w:t xml:space="preserve"> </w:t>
      </w:r>
      <w:r w:rsidR="00C215B3" w:rsidRPr="00CB2647">
        <w:t>Bu sırada FSH ve LH’nın pituiter bezden geçici olarak salgısı artmaktadır.GnRHa’na E2 yanıtının</w:t>
      </w:r>
      <w:r w:rsidR="006F73EE" w:rsidRPr="00CB2647">
        <w:t xml:space="preserve"> hızlı</w:t>
      </w:r>
      <w:r w:rsidR="00C215B3" w:rsidRPr="00CB2647">
        <w:t xml:space="preserve"> olması over rezervinin d</w:t>
      </w:r>
      <w:r w:rsidR="006F73EE" w:rsidRPr="00CB2647">
        <w:t>ah</w:t>
      </w:r>
      <w:r w:rsidR="001964DE" w:rsidRPr="00CB2647">
        <w:t>a iyi olduğunu göstermektedir</w:t>
      </w:r>
      <w:r w:rsidR="00BB3EFD" w:rsidRPr="00CB2647">
        <w:t>(33</w:t>
      </w:r>
      <w:r w:rsidR="006F73EE" w:rsidRPr="00CB2647">
        <w:t>).</w:t>
      </w:r>
    </w:p>
    <w:p w:rsidR="006F73EE" w:rsidRPr="00CB2647" w:rsidRDefault="005654C6" w:rsidP="005654C6">
      <w:r w:rsidRPr="00CB2647">
        <w:tab/>
      </w:r>
      <w:r w:rsidR="006F73EE" w:rsidRPr="00CB2647">
        <w:t>iii)</w:t>
      </w:r>
      <w:r w:rsidR="00CF10CC" w:rsidRPr="00CB2647">
        <w:t>Ekzojen FSH Over Rezerv Testi(EFORT):menstrüel siklüsün 3.günü</w:t>
      </w:r>
      <w:r w:rsidR="005C43A3" w:rsidRPr="00CB2647">
        <w:t>nde 300IU FSH verilir. Ekz</w:t>
      </w:r>
      <w:r w:rsidR="00CF10CC" w:rsidRPr="00CB2647">
        <w:t>ojen FSH vermeden önce ve 24 saat sonra FSH,</w:t>
      </w:r>
      <w:r w:rsidR="00394A27">
        <w:t xml:space="preserve"> </w:t>
      </w:r>
      <w:r w:rsidR="00CF10CC" w:rsidRPr="00CB2647">
        <w:t>inhibin B ve E</w:t>
      </w:r>
      <w:r w:rsidR="00CF10CC" w:rsidRPr="00CB2647">
        <w:rPr>
          <w:sz w:val="16"/>
          <w:szCs w:val="16"/>
        </w:rPr>
        <w:t xml:space="preserve">2 </w:t>
      </w:r>
      <w:r w:rsidR="00CF10CC" w:rsidRPr="00CB2647">
        <w:t>ölçülür.Bazal FSH seviyesi ve E</w:t>
      </w:r>
      <w:r w:rsidR="00CF10CC" w:rsidRPr="00CB2647">
        <w:rPr>
          <w:sz w:val="16"/>
          <w:szCs w:val="16"/>
        </w:rPr>
        <w:t>2</w:t>
      </w:r>
      <w:r w:rsidR="00CF10CC" w:rsidRPr="00CB2647">
        <w:t xml:space="preserve"> deki artış İVF siklus yanıtı tahmin</w:t>
      </w:r>
      <w:r w:rsidR="001964DE" w:rsidRPr="00CB2647">
        <w:t>inde bize yardımcı olmaktadır</w:t>
      </w:r>
      <w:r w:rsidR="00BB3EFD" w:rsidRPr="00CB2647">
        <w:t>(34</w:t>
      </w:r>
      <w:r w:rsidR="00CF10CC" w:rsidRPr="00CB2647">
        <w:t>)</w:t>
      </w:r>
      <w:r w:rsidR="00286637" w:rsidRPr="00CB2647">
        <w:t>.</w:t>
      </w:r>
    </w:p>
    <w:p w:rsidR="00CF69DE" w:rsidRPr="00CB2647" w:rsidRDefault="005654C6" w:rsidP="005654C6">
      <w:r w:rsidRPr="00CB2647">
        <w:tab/>
      </w:r>
      <w:r w:rsidR="009F45BC" w:rsidRPr="00CB2647">
        <w:t>Broekman ve arkadaşlarının hipotezine göre birinci İVF siklusundaki over yanıtı rezervi göstermede en güvenilir test olmalıdır.</w:t>
      </w:r>
      <w:r w:rsidR="00394A27">
        <w:t xml:space="preserve"> </w:t>
      </w:r>
      <w:r w:rsidR="005C43A3" w:rsidRPr="00CB2647">
        <w:t>Bir önceki siklusta FSH stimu</w:t>
      </w:r>
      <w:r w:rsidR="00CF69DE" w:rsidRPr="00CB2647">
        <w:t>lasyonuna rağmen kötü cevap veren kadınlar kötü over rezervli olarak değerlendir</w:t>
      </w:r>
      <w:r w:rsidRPr="00CB2647">
        <w:t>i</w:t>
      </w:r>
      <w:r w:rsidR="00CF69DE" w:rsidRPr="00CB2647">
        <w:t>lmelidirler.</w:t>
      </w:r>
    </w:p>
    <w:p w:rsidR="00E00B3C" w:rsidRPr="00CB2647" w:rsidRDefault="00E00B3C" w:rsidP="005654C6"/>
    <w:p w:rsidR="005654C6" w:rsidRPr="00CB2647" w:rsidRDefault="005654C6" w:rsidP="005654C6"/>
    <w:p w:rsidR="005654C6" w:rsidRPr="00CB2647" w:rsidRDefault="005654C6" w:rsidP="005654C6"/>
    <w:p w:rsidR="005654C6" w:rsidRPr="00CB2647" w:rsidRDefault="005654C6" w:rsidP="005654C6"/>
    <w:p w:rsidR="005654C6" w:rsidRPr="00CB2647" w:rsidRDefault="005654C6" w:rsidP="005654C6"/>
    <w:p w:rsidR="005654C6" w:rsidRPr="00CB2647" w:rsidRDefault="005654C6" w:rsidP="005654C6"/>
    <w:p w:rsidR="005654C6" w:rsidRPr="00CB2647" w:rsidRDefault="005654C6" w:rsidP="005654C6"/>
    <w:p w:rsidR="005654C6" w:rsidRPr="00CB2647" w:rsidRDefault="005654C6" w:rsidP="005654C6">
      <w:r w:rsidRPr="00CB2647">
        <w:lastRenderedPageBreak/>
        <w:t xml:space="preserve">Şekil </w:t>
      </w:r>
      <w:r w:rsidR="00903ED9">
        <w:t>2.</w:t>
      </w:r>
      <w:r w:rsidRPr="00CB2647">
        <w:t>2: Kötü Over Rezervini Öngörmede FSH(solda) ve AMH ile AFC (sağda)(26)</w:t>
      </w:r>
    </w:p>
    <w:p w:rsidR="00B9253E" w:rsidRPr="00CB2647" w:rsidRDefault="00E00B3C" w:rsidP="003B2AE0">
      <w:pPr>
        <w:rPr>
          <w:rFonts w:cs="Times New Roman"/>
          <w:szCs w:val="24"/>
        </w:rPr>
      </w:pPr>
      <w:r w:rsidRPr="00CB2647">
        <w:rPr>
          <w:rFonts w:cs="Times New Roman"/>
          <w:noProof/>
          <w:szCs w:val="24"/>
        </w:rPr>
        <w:drawing>
          <wp:inline distT="0" distB="0" distL="0" distR="0">
            <wp:extent cx="5760720" cy="2860440"/>
            <wp:effectExtent l="19050" t="0" r="0" b="0"/>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a:stretch>
                      <a:fillRect/>
                    </a:stretch>
                  </pic:blipFill>
                  <pic:spPr bwMode="auto">
                    <a:xfrm>
                      <a:off x="0" y="0"/>
                      <a:ext cx="5760720" cy="2860440"/>
                    </a:xfrm>
                    <a:prstGeom prst="rect">
                      <a:avLst/>
                    </a:prstGeom>
                    <a:noFill/>
                    <a:ln w="9525">
                      <a:noFill/>
                      <a:miter lim="800000"/>
                      <a:headEnd/>
                      <a:tailEnd/>
                    </a:ln>
                  </pic:spPr>
                </pic:pic>
              </a:graphicData>
            </a:graphic>
          </wp:inline>
        </w:drawing>
      </w:r>
    </w:p>
    <w:p w:rsidR="00614BC2" w:rsidRPr="00CB2647" w:rsidRDefault="00614BC2" w:rsidP="005654C6"/>
    <w:p w:rsidR="00614BC2" w:rsidRPr="00CB2647" w:rsidRDefault="00105942" w:rsidP="005654C6">
      <w:pPr>
        <w:pStyle w:val="Balk2"/>
      </w:pPr>
      <w:bookmarkStart w:id="16" w:name="_Toc432062028"/>
      <w:r w:rsidRPr="00CB2647">
        <w:t>2.4</w:t>
      </w:r>
      <w:r w:rsidR="005654C6" w:rsidRPr="00CB2647">
        <w:t>. Kötü Over Rezervli Hastalara Yaklaşım</w:t>
      </w:r>
      <w:bookmarkEnd w:id="16"/>
    </w:p>
    <w:p w:rsidR="00DA7412" w:rsidRDefault="005654C6" w:rsidP="005654C6">
      <w:r w:rsidRPr="00CB2647">
        <w:tab/>
      </w:r>
      <w:r w:rsidR="00A813FB" w:rsidRPr="00CB2647">
        <w:t>Kötü over rezervli hastaların yönetimi açısından 20 yıldan fazladır literatürde</w:t>
      </w:r>
      <w:r w:rsidR="00FF7550" w:rsidRPr="00CB2647">
        <w:t xml:space="preserve"> bir</w:t>
      </w:r>
      <w:r w:rsidR="00A813FB" w:rsidRPr="00CB2647">
        <w:t>çok gonadotropin şekli ve dozu denenmesine rağmen hala sorunu kesin çözen bir tedavi protokolü geliştirilememiştir.</w:t>
      </w:r>
    </w:p>
    <w:p w:rsidR="007A105C" w:rsidRPr="00CB2647" w:rsidRDefault="007A105C" w:rsidP="005654C6"/>
    <w:p w:rsidR="00A813FB" w:rsidRPr="00CB2647" w:rsidRDefault="005654C6" w:rsidP="005654C6">
      <w:pPr>
        <w:rPr>
          <w:b/>
        </w:rPr>
      </w:pPr>
      <w:r w:rsidRPr="00CB2647">
        <w:rPr>
          <w:b/>
        </w:rPr>
        <w:tab/>
      </w:r>
      <w:r w:rsidR="00A813FB" w:rsidRPr="00CB2647">
        <w:rPr>
          <w:b/>
        </w:rPr>
        <w:t>Kullanılan protokoller:</w:t>
      </w:r>
    </w:p>
    <w:p w:rsidR="00C6399E" w:rsidRPr="007A105C" w:rsidRDefault="005654C6" w:rsidP="005654C6">
      <w:pPr>
        <w:rPr>
          <w:b/>
        </w:rPr>
      </w:pPr>
      <w:r w:rsidRPr="007A105C">
        <w:rPr>
          <w:b/>
        </w:rPr>
        <w:tab/>
      </w:r>
      <w:r w:rsidR="00A813FB" w:rsidRPr="007A105C">
        <w:rPr>
          <w:b/>
        </w:rPr>
        <w:t>Yüksek doz gonadotropin kullanımı</w:t>
      </w:r>
    </w:p>
    <w:p w:rsidR="00A813FB" w:rsidRPr="00CB2647" w:rsidRDefault="005654C6" w:rsidP="005654C6">
      <w:r w:rsidRPr="00CB2647">
        <w:tab/>
      </w:r>
      <w:r w:rsidR="00B45DC0" w:rsidRPr="00CB2647">
        <w:t>Berkanoğlu ve Ozgür yüksek doz FSH kullanımının gebelik oranlarını artırmadığını ve aynı zamanda başlangıç dozları açısından</w:t>
      </w:r>
      <w:r w:rsidR="002D0594" w:rsidRPr="00CB2647">
        <w:t xml:space="preserve"> fark olmadığını tespit ettiler</w:t>
      </w:r>
      <w:r w:rsidR="00BB3EFD" w:rsidRPr="00CB2647">
        <w:t>(35).</w:t>
      </w:r>
      <w:r w:rsidR="003E41B2" w:rsidRPr="00CB2647">
        <w:t>Hofman ve arkadaşlarının günlük FSH dozunun günlük 300 İU’den 450 İU’ye yükseltilmesi siklus iptal oranlarında azalma ve gebelik oranlarında art</w:t>
      </w:r>
      <w:r w:rsidR="00286637" w:rsidRPr="00CB2647">
        <w:t>ışa yol açtığı gösterilmiştir</w:t>
      </w:r>
      <w:r w:rsidR="00532EFD" w:rsidRPr="00CB2647">
        <w:t>(36</w:t>
      </w:r>
      <w:r w:rsidR="003E41B2" w:rsidRPr="00CB2647">
        <w:t>)</w:t>
      </w:r>
      <w:r w:rsidR="002D0594" w:rsidRPr="00CB2647">
        <w:t xml:space="preserve">. </w:t>
      </w:r>
      <w:r w:rsidR="003E41B2" w:rsidRPr="00CB2647">
        <w:t>Ancak bu bulgular diğer çalışmalarla desteklenmemiştir.</w:t>
      </w:r>
    </w:p>
    <w:p w:rsidR="005654C6" w:rsidRPr="00CB2647" w:rsidRDefault="005654C6" w:rsidP="005654C6"/>
    <w:p w:rsidR="003E41B2" w:rsidRPr="007A105C" w:rsidRDefault="005654C6" w:rsidP="005654C6">
      <w:pPr>
        <w:rPr>
          <w:b/>
        </w:rPr>
      </w:pPr>
      <w:r w:rsidRPr="007A105C">
        <w:rPr>
          <w:b/>
        </w:rPr>
        <w:tab/>
      </w:r>
      <w:r w:rsidR="003E41B2" w:rsidRPr="007A105C">
        <w:rPr>
          <w:b/>
        </w:rPr>
        <w:t>GnRH agonistleri:</w:t>
      </w:r>
      <w:r w:rsidR="00394A27">
        <w:rPr>
          <w:b/>
        </w:rPr>
        <w:t xml:space="preserve"> </w:t>
      </w:r>
      <w:r w:rsidR="003E41B2" w:rsidRPr="007A105C">
        <w:rPr>
          <w:b/>
        </w:rPr>
        <w:t>flare protokol</w:t>
      </w:r>
    </w:p>
    <w:p w:rsidR="005C5A6E" w:rsidRPr="00CB2647" w:rsidRDefault="005654C6" w:rsidP="005654C6">
      <w:r w:rsidRPr="00CB2647">
        <w:tab/>
      </w:r>
      <w:r w:rsidR="00B96AC9" w:rsidRPr="00CB2647">
        <w:t xml:space="preserve">Kötü ovaryan rezervli hastalarda GnRH </w:t>
      </w:r>
      <w:r w:rsidR="005C43A3" w:rsidRPr="00CB2647">
        <w:t>agonist veya antagonist</w:t>
      </w:r>
      <w:r w:rsidR="00B96AC9" w:rsidRPr="00CB2647">
        <w:t xml:space="preserve"> kullanımı ile ilgili çok sayıda çalışma bulunmaktadır.</w:t>
      </w:r>
      <w:r w:rsidR="00394A27">
        <w:t xml:space="preserve"> </w:t>
      </w:r>
      <w:r w:rsidR="00B96AC9" w:rsidRPr="00CB2647">
        <w:t>Ar</w:t>
      </w:r>
      <w:r w:rsidR="005C43A3" w:rsidRPr="00CB2647">
        <w:t>a</w:t>
      </w:r>
      <w:r w:rsidR="00B96AC9" w:rsidRPr="00CB2647">
        <w:t>ştırmacılar KOH siklüslarında LH surge’nı önlemenin yanı sıra endojen gonadotropinler üzerinde yarattıkları stimülatör(flare up)etkiden yararlanmak amacı ile standart dozda ve gonadotropinler ile birlikte erken folliküler fazda başlamışlardır.Ancak bu rejim şeklinin kötü over rezervli hasta</w:t>
      </w:r>
      <w:r w:rsidR="00286637" w:rsidRPr="00CB2647">
        <w:t xml:space="preserve">larda pek </w:t>
      </w:r>
      <w:r w:rsidR="00286637" w:rsidRPr="00CB2647">
        <w:lastRenderedPageBreak/>
        <w:t>yara</w:t>
      </w:r>
      <w:r w:rsidR="00394A27">
        <w:t>r</w:t>
      </w:r>
      <w:r w:rsidR="00286637" w:rsidRPr="00CB2647">
        <w:t>lı görülmemiştir</w:t>
      </w:r>
      <w:r w:rsidR="00331951" w:rsidRPr="00CB2647">
        <w:t>(37</w:t>
      </w:r>
      <w:r w:rsidR="00286637" w:rsidRPr="00CB2647">
        <w:t>,3</w:t>
      </w:r>
      <w:r w:rsidR="00331951" w:rsidRPr="00CB2647">
        <w:t>8</w:t>
      </w:r>
      <w:r w:rsidR="00B96AC9" w:rsidRPr="00CB2647">
        <w:t>)</w:t>
      </w:r>
      <w:r w:rsidR="00286637" w:rsidRPr="00CB2647">
        <w:t>.</w:t>
      </w:r>
      <w:r w:rsidR="00C869C9" w:rsidRPr="00CB2647">
        <w:t>Bu sonucun dolaşımda artan LH ve progesteron düzeyini atrezik follikülleri indüklemesi son</w:t>
      </w:r>
      <w:r w:rsidR="00286637" w:rsidRPr="00CB2647">
        <w:t>ucu olabildiği öne sürülmüştür(3</w:t>
      </w:r>
      <w:r w:rsidR="00331951" w:rsidRPr="00CB2647">
        <w:t>9</w:t>
      </w:r>
      <w:r w:rsidR="00C869C9" w:rsidRPr="00CB2647">
        <w:t>)</w:t>
      </w:r>
      <w:r w:rsidR="00286637" w:rsidRPr="00CB2647">
        <w:t>.</w:t>
      </w:r>
    </w:p>
    <w:p w:rsidR="003E41B2" w:rsidRPr="00CB2647" w:rsidRDefault="005654C6" w:rsidP="005654C6">
      <w:r w:rsidRPr="00CB2647">
        <w:tab/>
      </w:r>
      <w:r w:rsidR="005C5A6E" w:rsidRPr="00CB2647">
        <w:t>Bu yüzden flare protokole başlamadan önce kalabilecek bir corpus luteumundevamlılığını sürdürmesi ve oluşturabilecek etkilerini önlemek amacıyla OKS kullanılmaktadır.</w:t>
      </w:r>
      <w:r w:rsidR="00394A27">
        <w:t xml:space="preserve"> </w:t>
      </w:r>
      <w:r w:rsidR="005C5A6E" w:rsidRPr="00CB2647">
        <w:t>Ancak bu yaklaşım ile kötü ovaryan rezervli hastalarda siklus sonuçları üzerinde olumlu etki gös</w:t>
      </w:r>
      <w:r w:rsidR="00286637" w:rsidRPr="00CB2647">
        <w:t>terilememiştir</w:t>
      </w:r>
      <w:r w:rsidR="00331951" w:rsidRPr="00CB2647">
        <w:t>(40</w:t>
      </w:r>
      <w:r w:rsidR="005C5A6E" w:rsidRPr="00CB2647">
        <w:t>)</w:t>
      </w:r>
      <w:r w:rsidR="00286637" w:rsidRPr="00CB2647">
        <w:t>.</w:t>
      </w:r>
    </w:p>
    <w:p w:rsidR="005654C6" w:rsidRPr="00CB2647" w:rsidRDefault="005654C6" w:rsidP="005654C6"/>
    <w:p w:rsidR="00372093" w:rsidRPr="007A105C" w:rsidRDefault="005654C6" w:rsidP="005654C6">
      <w:pPr>
        <w:rPr>
          <w:b/>
        </w:rPr>
      </w:pPr>
      <w:r w:rsidRPr="007A105C">
        <w:rPr>
          <w:b/>
        </w:rPr>
        <w:tab/>
      </w:r>
      <w:r w:rsidR="00372093" w:rsidRPr="007A105C">
        <w:rPr>
          <w:b/>
        </w:rPr>
        <w:t>GnRH agonistleri:LH eklenmesi</w:t>
      </w:r>
    </w:p>
    <w:p w:rsidR="00B713DE" w:rsidRPr="00CB2647" w:rsidRDefault="005654C6" w:rsidP="005654C6">
      <w:r w:rsidRPr="00CB2647">
        <w:tab/>
      </w:r>
      <w:r w:rsidR="00C6399E" w:rsidRPr="00CB2647">
        <w:t>Lo</w:t>
      </w:r>
      <w:r w:rsidR="00372093" w:rsidRPr="00CB2647">
        <w:t>ng luteal GnRHa protokol uygulanması sonrası gonadotropin aşırı süpresyonuna bağlı olarak kötü over rezervli hastaları olumsuz etkileyebilmektedir.</w:t>
      </w:r>
      <w:r w:rsidR="00394A27">
        <w:t xml:space="preserve"> </w:t>
      </w:r>
      <w:r w:rsidR="00372093" w:rsidRPr="00CB2647">
        <w:t xml:space="preserve">Bu nedenle </w:t>
      </w:r>
      <w:r w:rsidR="005B49B2" w:rsidRPr="00CB2647">
        <w:t>rFSH</w:t>
      </w:r>
      <w:r w:rsidR="00B713DE" w:rsidRPr="00CB2647">
        <w:t>+long luteal ago</w:t>
      </w:r>
      <w:r w:rsidR="005B49B2" w:rsidRPr="00CB2647">
        <w:t>nist protokol veya rFSH</w:t>
      </w:r>
      <w:r w:rsidR="00B713DE" w:rsidRPr="00CB2647">
        <w:t>+GnRHa flare up protokol uyulanan olgulara siklusun 6-7. Günü 150 mcg rLH eklenerek etkisi araştırılmıştır fakat gebelik oranları ve over cevabı açısında</w:t>
      </w:r>
      <w:r w:rsidR="002A3D23" w:rsidRPr="00CB2647">
        <w:t>n</w:t>
      </w:r>
      <w:r w:rsidR="00286637" w:rsidRPr="00CB2647">
        <w:t xml:space="preserve"> olumlu etki gösteril</w:t>
      </w:r>
      <w:r w:rsidR="008B7D75" w:rsidRPr="00CB2647">
        <w:t>e</w:t>
      </w:r>
      <w:r w:rsidR="00286637" w:rsidRPr="00CB2647">
        <w:t>memiştir</w:t>
      </w:r>
      <w:r w:rsidR="00331951" w:rsidRPr="00CB2647">
        <w:t>(41</w:t>
      </w:r>
      <w:r w:rsidR="00286637" w:rsidRPr="00CB2647">
        <w:t>,4</w:t>
      </w:r>
      <w:r w:rsidR="00331951" w:rsidRPr="00CB2647">
        <w:t>2</w:t>
      </w:r>
      <w:r w:rsidR="00B713DE" w:rsidRPr="00CB2647">
        <w:t>)</w:t>
      </w:r>
      <w:r w:rsidR="008B7D75" w:rsidRPr="00CB2647">
        <w:t>.</w:t>
      </w:r>
    </w:p>
    <w:p w:rsidR="005654C6" w:rsidRPr="00CB2647" w:rsidRDefault="005654C6" w:rsidP="005654C6"/>
    <w:p w:rsidR="00C6399E" w:rsidRPr="007A105C" w:rsidRDefault="005654C6" w:rsidP="005654C6">
      <w:pPr>
        <w:rPr>
          <w:b/>
        </w:rPr>
      </w:pPr>
      <w:r w:rsidRPr="007A105C">
        <w:rPr>
          <w:b/>
        </w:rPr>
        <w:tab/>
      </w:r>
      <w:r w:rsidR="00C6399E" w:rsidRPr="007A105C">
        <w:rPr>
          <w:b/>
        </w:rPr>
        <w:t>GnRH agonistleri:</w:t>
      </w:r>
      <w:r w:rsidR="00394A27">
        <w:rPr>
          <w:b/>
        </w:rPr>
        <w:t xml:space="preserve"> </w:t>
      </w:r>
      <w:r w:rsidR="00C6399E" w:rsidRPr="007A105C">
        <w:rPr>
          <w:b/>
        </w:rPr>
        <w:t>stop protokol</w:t>
      </w:r>
    </w:p>
    <w:p w:rsidR="00630ECC" w:rsidRPr="00CB2647" w:rsidRDefault="005654C6" w:rsidP="005654C6">
      <w:r w:rsidRPr="00CB2647">
        <w:tab/>
      </w:r>
      <w:r w:rsidR="00630ECC" w:rsidRPr="00CB2647">
        <w:t>Kötü over yanıtlı olgularda GnRHa uygulamasına mid-luteal dönemde başl</w:t>
      </w:r>
      <w:r w:rsidR="008B7D75" w:rsidRPr="00CB2647">
        <w:t>anılarak gonadotropinlerle stimu</w:t>
      </w:r>
      <w:r w:rsidR="00630ECC" w:rsidRPr="00CB2647">
        <w:t>lasyona başlam</w:t>
      </w:r>
      <w:r w:rsidRPr="00CB2647">
        <w:t>a</w:t>
      </w:r>
      <w:r w:rsidR="00630ECC" w:rsidRPr="00CB2647">
        <w:t>dan önce kes</w:t>
      </w:r>
      <w:r w:rsidR="009F6DC5" w:rsidRPr="00CB2647">
        <w:t xml:space="preserve">ilerek bu kısa süreli ovaryan supresyonun </w:t>
      </w:r>
      <w:r w:rsidR="00630ECC" w:rsidRPr="00CB2647">
        <w:t>faydası araştırılmıştır.</w:t>
      </w:r>
      <w:r w:rsidR="00394A27">
        <w:t xml:space="preserve"> </w:t>
      </w:r>
      <w:r w:rsidR="00630ECC" w:rsidRPr="00CB2647">
        <w:t>Bu protokoldeki en önemli sorun prematür ovulasyon riskindeki artıştır</w:t>
      </w:r>
      <w:r w:rsidR="009F6DC5" w:rsidRPr="00CB2647">
        <w:t>.Faber ve arkadaşları tarafından yapılan çalışmada 192 kötü ovaryan yanıtlı olguya mid-luteal dönemde 0</w:t>
      </w:r>
      <w:r w:rsidR="008B7D75" w:rsidRPr="00CB2647">
        <w:t>,</w:t>
      </w:r>
      <w:r w:rsidR="009F6DC5" w:rsidRPr="00CB2647">
        <w:t>5mg leuprolid asetat başlanmış ve en az 7 gün uygulanmış ve mensin başlamasıyla GnRHa kesilmiş.Transfer başına devam eden gebelik oranı %24 ve siklus i</w:t>
      </w:r>
      <w:r w:rsidR="008B7D75" w:rsidRPr="00CB2647">
        <w:t>ptal oranı %12,</w:t>
      </w:r>
      <w:r w:rsidR="009F6DC5" w:rsidRPr="00CB2647">
        <w:t>5 olarak bildirilmiştir.Tek bir hastada prem</w:t>
      </w:r>
      <w:r w:rsidR="00286637" w:rsidRPr="00CB2647">
        <w:t>atür LH yükselmesi görülmüştür(4</w:t>
      </w:r>
      <w:r w:rsidR="00331951" w:rsidRPr="00CB2647">
        <w:t>3</w:t>
      </w:r>
      <w:r w:rsidR="009F6DC5" w:rsidRPr="00CB2647">
        <w:t>).</w:t>
      </w:r>
    </w:p>
    <w:p w:rsidR="005654C6" w:rsidRPr="00CB2647" w:rsidRDefault="005654C6" w:rsidP="005654C6"/>
    <w:p w:rsidR="009F6DC5" w:rsidRPr="007A105C" w:rsidRDefault="005654C6" w:rsidP="005654C6">
      <w:pPr>
        <w:rPr>
          <w:b/>
        </w:rPr>
      </w:pPr>
      <w:r w:rsidRPr="007A105C">
        <w:rPr>
          <w:b/>
        </w:rPr>
        <w:tab/>
      </w:r>
      <w:r w:rsidR="00490F97" w:rsidRPr="007A105C">
        <w:rPr>
          <w:b/>
        </w:rPr>
        <w:t>Mini-doz luteal faz GnRH agonist protokol</w:t>
      </w:r>
    </w:p>
    <w:p w:rsidR="009F6DC5" w:rsidRPr="00CB2647" w:rsidRDefault="005654C6" w:rsidP="005654C6">
      <w:r w:rsidRPr="00CB2647">
        <w:tab/>
      </w:r>
      <w:r w:rsidR="00490F97" w:rsidRPr="00CB2647">
        <w:t>Luteal faz boyunca GnRHa dozunu azaltarak endojen gonadotropinlerde daha az supresyona neden olarak prematür ovulasyonu önlemektedir.</w:t>
      </w:r>
      <w:r w:rsidR="00394A27">
        <w:t xml:space="preserve"> </w:t>
      </w:r>
      <w:r w:rsidR="00490F97" w:rsidRPr="00CB2647">
        <w:t xml:space="preserve">Bununla ilgili yapılan randomize olmayan çalışmalar mevcuttur.98 </w:t>
      </w:r>
      <w:r w:rsidR="005C43A3" w:rsidRPr="00CB2647">
        <w:t xml:space="preserve">olgunun incelendiği prospektif </w:t>
      </w:r>
      <w:r w:rsidR="00490F97" w:rsidRPr="00CB2647">
        <w:t>bir çalışmada mid-lut</w:t>
      </w:r>
      <w:r w:rsidR="00244B1B" w:rsidRPr="00CB2647">
        <w:t>e</w:t>
      </w:r>
      <w:r w:rsidR="008B7D75" w:rsidRPr="00CB2647">
        <w:t>al fazda günlük 0,</w:t>
      </w:r>
      <w:r w:rsidR="00490F97" w:rsidRPr="00CB2647">
        <w:t>5 m</w:t>
      </w:r>
      <w:r w:rsidR="00DE4D44" w:rsidRPr="00CB2647">
        <w:t>g</w:t>
      </w:r>
      <w:r w:rsidR="00286637" w:rsidRPr="00CB2647">
        <w:t xml:space="preserve"> leuprolid asetat başlanmıştır(4</w:t>
      </w:r>
      <w:r w:rsidR="004C6983" w:rsidRPr="00CB2647">
        <w:t>4</w:t>
      </w:r>
      <w:r w:rsidR="005C43A3" w:rsidRPr="00CB2647">
        <w:t xml:space="preserve">).Mensin başlamasıyla </w:t>
      </w:r>
      <w:r w:rsidR="008B7D75" w:rsidRPr="00CB2647">
        <w:t xml:space="preserve">gonadotropin </w:t>
      </w:r>
      <w:r w:rsidR="00DE4D44" w:rsidRPr="00CB2647">
        <w:t xml:space="preserve">dozlarına </w:t>
      </w:r>
      <w:r w:rsidR="005C43A3" w:rsidRPr="00CB2647">
        <w:t xml:space="preserve">başlanması </w:t>
      </w:r>
      <w:r w:rsidR="00DE4D44" w:rsidRPr="00CB2647">
        <w:t>ile berabe</w:t>
      </w:r>
      <w:r w:rsidR="008B7D75" w:rsidRPr="00CB2647">
        <w:t>r agonist dozu 0,</w:t>
      </w:r>
      <w:r w:rsidR="004C6983" w:rsidRPr="00CB2647">
        <w:t>2</w:t>
      </w:r>
      <w:r w:rsidR="00DE4D44" w:rsidRPr="00CB2647">
        <w:t>5 mg’a düşürülmüştür.Bu çalışmada serum E</w:t>
      </w:r>
      <w:r w:rsidR="00DE4D44" w:rsidRPr="00CB2647">
        <w:rPr>
          <w:sz w:val="16"/>
          <w:szCs w:val="16"/>
        </w:rPr>
        <w:t>2</w:t>
      </w:r>
      <w:r w:rsidR="00DE4D44" w:rsidRPr="00CB2647">
        <w:t xml:space="preserve"> düzeylerinde,embriyo kalitesinde ve çıkan oosit sayısında artış olduğu bildirilmiştir.</w:t>
      </w:r>
    </w:p>
    <w:p w:rsidR="005654C6" w:rsidRDefault="005654C6" w:rsidP="005654C6"/>
    <w:p w:rsidR="007A105C" w:rsidRPr="00CB2647" w:rsidRDefault="007A105C" w:rsidP="005654C6"/>
    <w:p w:rsidR="00DE4D44" w:rsidRPr="007A105C" w:rsidRDefault="005654C6" w:rsidP="005654C6">
      <w:pPr>
        <w:rPr>
          <w:b/>
        </w:rPr>
      </w:pPr>
      <w:r w:rsidRPr="007A105C">
        <w:rPr>
          <w:b/>
        </w:rPr>
        <w:lastRenderedPageBreak/>
        <w:tab/>
      </w:r>
      <w:r w:rsidR="00DE4D44" w:rsidRPr="007A105C">
        <w:rPr>
          <w:b/>
        </w:rPr>
        <w:t>Luteal faz FSH+GnRH agonist</w:t>
      </w:r>
    </w:p>
    <w:p w:rsidR="00DE4D44" w:rsidRPr="00CB2647" w:rsidRDefault="005654C6" w:rsidP="005654C6">
      <w:r w:rsidRPr="00CB2647">
        <w:tab/>
      </w:r>
      <w:r w:rsidR="00C702E5" w:rsidRPr="00CB2647">
        <w:t>Önceki siklusun luteal fazında başlayan follikül havuzundaki atreziden kurtulup ovulasyona gidebilecek hücrelerin toplanması folliküler recruitment olarak</w:t>
      </w:r>
      <w:r w:rsidR="00394A27">
        <w:t xml:space="preserve"> </w:t>
      </w:r>
      <w:r w:rsidR="00C702E5" w:rsidRPr="00CB2647">
        <w:t>tanımlanmaktadır.</w:t>
      </w:r>
      <w:r w:rsidR="00394A27">
        <w:t xml:space="preserve"> </w:t>
      </w:r>
      <w:r w:rsidR="00C702E5" w:rsidRPr="00CB2647">
        <w:t>Bu dönmede ekzojen gonadotropin başlnaması faydalı olabilmektedir.Prospektif randomize bir çalışmada 21 olguya siklusun 21.günü rekombin</w:t>
      </w:r>
      <w:r w:rsidR="00286637" w:rsidRPr="00CB2647">
        <w:t>ant FSH ve GnRHa başlanmıştır(4</w:t>
      </w:r>
      <w:r w:rsidR="004C6983" w:rsidRPr="00CB2647">
        <w:t>5</w:t>
      </w:r>
      <w:r w:rsidR="00C702E5" w:rsidRPr="00CB2647">
        <w:t>)</w:t>
      </w:r>
      <w:r w:rsidR="00286637" w:rsidRPr="00CB2647">
        <w:t>.</w:t>
      </w:r>
      <w:r w:rsidR="00C702E5" w:rsidRPr="00CB2647">
        <w:t>Benzer özellikteki kontrol grubundaki 21 olguya standart flare protokol uygulanmıştır.Çalışma grubunda istatis</w:t>
      </w:r>
      <w:r w:rsidR="008B7D75" w:rsidRPr="00CB2647">
        <w:t>tik</w:t>
      </w:r>
      <w:r w:rsidR="00C702E5" w:rsidRPr="00CB2647">
        <w:t>sel olarak anlamlı sayıda matür oosit elde edilmiştir.</w:t>
      </w:r>
      <w:r w:rsidR="008B7D75" w:rsidRPr="00CB2647">
        <w:t xml:space="preserve"> Klinik gebelik o</w:t>
      </w:r>
      <w:r w:rsidR="00C702E5" w:rsidRPr="00CB2647">
        <w:t>r</w:t>
      </w:r>
      <w:r w:rsidR="008B7D75" w:rsidRPr="00CB2647">
        <w:t>a</w:t>
      </w:r>
      <w:r w:rsidR="00C702E5" w:rsidRPr="00CB2647">
        <w:t>nlarında</w:t>
      </w:r>
      <w:r w:rsidR="008B7D75" w:rsidRPr="00CB2647">
        <w:t xml:space="preserve"> da artış sapt</w:t>
      </w:r>
      <w:r w:rsidR="00C702E5" w:rsidRPr="00CB2647">
        <w:t>a</w:t>
      </w:r>
      <w:r w:rsidR="008B7D75" w:rsidRPr="00CB2647">
        <w:t>n</w:t>
      </w:r>
      <w:r w:rsidR="00C702E5" w:rsidRPr="00CB2647">
        <w:t>mış</w:t>
      </w:r>
      <w:r w:rsidR="008B7D75" w:rsidRPr="00CB2647">
        <w:t>tır</w:t>
      </w:r>
      <w:r w:rsidR="00C702E5" w:rsidRPr="00CB2647">
        <w:t xml:space="preserve"> fakat istatistiksel</w:t>
      </w:r>
      <w:r w:rsidR="008B7D75" w:rsidRPr="00CB2647">
        <w:t xml:space="preserve"> olarak anlamlı fark bulunmamıştır</w:t>
      </w:r>
      <w:r w:rsidR="00C702E5" w:rsidRPr="00CB2647">
        <w:t>(%39 ile %15).</w:t>
      </w:r>
    </w:p>
    <w:p w:rsidR="005654C6" w:rsidRPr="00CB2647" w:rsidRDefault="005654C6" w:rsidP="005654C6"/>
    <w:p w:rsidR="007720EF" w:rsidRPr="007A105C" w:rsidRDefault="005654C6" w:rsidP="005654C6">
      <w:pPr>
        <w:rPr>
          <w:b/>
        </w:rPr>
      </w:pPr>
      <w:r w:rsidRPr="007A105C">
        <w:rPr>
          <w:b/>
        </w:rPr>
        <w:tab/>
      </w:r>
      <w:r w:rsidR="007720EF" w:rsidRPr="007A105C">
        <w:rPr>
          <w:b/>
        </w:rPr>
        <w:t>GnRH agonist:</w:t>
      </w:r>
      <w:r w:rsidR="00394A27">
        <w:rPr>
          <w:b/>
        </w:rPr>
        <w:t xml:space="preserve"> </w:t>
      </w:r>
      <w:r w:rsidR="007720EF" w:rsidRPr="007A105C">
        <w:rPr>
          <w:b/>
        </w:rPr>
        <w:t>mikrodoz flare protokol</w:t>
      </w:r>
    </w:p>
    <w:p w:rsidR="00DE4D44" w:rsidRPr="00CB2647" w:rsidRDefault="005654C6" w:rsidP="005654C6">
      <w:r w:rsidRPr="00CB2647">
        <w:tab/>
      </w:r>
      <w:r w:rsidR="007720EF" w:rsidRPr="00CB2647">
        <w:t>Bu protokol endojen gonadotropin salınımını indükleyecek ancak prematür LH yükselmesini ve ovulasyonu önleyecek en düşük GnRHa dozunu uygulamaya dayanmaktadır.</w:t>
      </w:r>
      <w:r w:rsidR="008B7D75" w:rsidRPr="00CB2647">
        <w:t xml:space="preserve"> Scott ve Navot </w:t>
      </w:r>
      <w:r w:rsidR="007720EF" w:rsidRPr="00CB2647">
        <w:t>tarafından 34 olguya siklusun 3.gününde 20 mcg leuprolid asetat günde 2 kez uygulanmaya başlanm</w:t>
      </w:r>
      <w:r w:rsidR="00D03EFC">
        <w:t xml:space="preserve">ış ve siklusun </w:t>
      </w:r>
      <w:r w:rsidR="008B7D75" w:rsidRPr="00CB2647">
        <w:t>5.gününde gonado</w:t>
      </w:r>
      <w:r w:rsidR="007720EF" w:rsidRPr="00CB2647">
        <w:t>t</w:t>
      </w:r>
      <w:r w:rsidR="008B7D75" w:rsidRPr="00CB2647">
        <w:t>ropinlerle stimu</w:t>
      </w:r>
      <w:r w:rsidR="007720EF" w:rsidRPr="00CB2647">
        <w:t>lasyon uygulaması eklenmiştir</w:t>
      </w:r>
      <w:r w:rsidR="00286637" w:rsidRPr="00CB2647">
        <w:t>(4</w:t>
      </w:r>
      <w:r w:rsidR="004C6983" w:rsidRPr="00CB2647">
        <w:t>6</w:t>
      </w:r>
      <w:r w:rsidR="005F603B" w:rsidRPr="00CB2647">
        <w:t>)</w:t>
      </w:r>
      <w:r w:rsidR="00286637" w:rsidRPr="00CB2647">
        <w:t>.</w:t>
      </w:r>
      <w:r w:rsidR="005F603B" w:rsidRPr="00CB2647">
        <w:t>Daha önce long luteal GnRHa protokolü ile kötü yanıt alınan bu olgularda bu çalışmada iyileşme olduğu gözlemlenmiş ve prematür LH yükselmesi olmadan daha fazla sayıda oosit elde edilmiştir.</w:t>
      </w:r>
      <w:r w:rsidR="00394A27">
        <w:t xml:space="preserve"> </w:t>
      </w:r>
      <w:r w:rsidR="002179F8" w:rsidRPr="00CB2647">
        <w:t>Bir prospektif çalışmada kötü over yanıtlı 129 olguya randomize olarak mikrodoz flare protokol veya doğal sikl</w:t>
      </w:r>
      <w:r w:rsidR="00286637" w:rsidRPr="00CB2647">
        <w:t>us İVF protokolü uygulanmıştır(4</w:t>
      </w:r>
      <w:r w:rsidR="004C6983" w:rsidRPr="00CB2647">
        <w:t>7</w:t>
      </w:r>
      <w:r w:rsidR="002179F8" w:rsidRPr="00CB2647">
        <w:t>)</w:t>
      </w:r>
      <w:r w:rsidR="00286637" w:rsidRPr="00CB2647">
        <w:t>.</w:t>
      </w:r>
      <w:r w:rsidR="008B7D75" w:rsidRPr="00CB2647">
        <w:t xml:space="preserve"> Her iki </w:t>
      </w:r>
      <w:r w:rsidR="002179F8" w:rsidRPr="00CB2647">
        <w:t>grupta oldukça düşük ama benzer o</w:t>
      </w:r>
      <w:r w:rsidR="008B7D75" w:rsidRPr="00CB2647">
        <w:t>randa transfer başına gebelik o</w:t>
      </w:r>
      <w:r w:rsidR="002179F8" w:rsidRPr="00CB2647">
        <w:t>ranları tespit edilmiştir.</w:t>
      </w:r>
      <w:r w:rsidR="00D03EFC">
        <w:t xml:space="preserve"> </w:t>
      </w:r>
      <w:r w:rsidR="002179F8" w:rsidRPr="00CB2647">
        <w:t>Bu çalışmada doğal siklus uygulanan grupta implantasyon oranlarının daha yüksek olduğu izlenmiştir.</w:t>
      </w:r>
    </w:p>
    <w:p w:rsidR="002331FB" w:rsidRPr="00CB2647" w:rsidRDefault="002331FB" w:rsidP="005654C6"/>
    <w:p w:rsidR="00155CF4" w:rsidRPr="007A105C" w:rsidRDefault="005654C6" w:rsidP="005654C6">
      <w:pPr>
        <w:rPr>
          <w:b/>
        </w:rPr>
      </w:pPr>
      <w:r w:rsidRPr="007A105C">
        <w:rPr>
          <w:b/>
        </w:rPr>
        <w:tab/>
      </w:r>
      <w:r w:rsidR="00B04830" w:rsidRPr="007A105C">
        <w:rPr>
          <w:b/>
        </w:rPr>
        <w:t>GnRH Antagonistleri</w:t>
      </w:r>
    </w:p>
    <w:p w:rsidR="002D0594" w:rsidRPr="00CB2647" w:rsidRDefault="005654C6" w:rsidP="005654C6">
      <w:r w:rsidRPr="00CB2647">
        <w:tab/>
      </w:r>
      <w:r w:rsidR="008738F7" w:rsidRPr="00CB2647">
        <w:t>Bu tedavi protokolü y</w:t>
      </w:r>
      <w:r w:rsidR="00862857" w:rsidRPr="00CB2647">
        <w:t>ak</w:t>
      </w:r>
      <w:r w:rsidR="008738F7" w:rsidRPr="00CB2647">
        <w:t>l</w:t>
      </w:r>
      <w:r w:rsidR="00862857" w:rsidRPr="00CB2647">
        <w:t>aşık 15 sene</w:t>
      </w:r>
      <w:r w:rsidR="008738F7" w:rsidRPr="00CB2647">
        <w:t>dir kullanılmaktadır</w:t>
      </w:r>
      <w:r w:rsidR="00B04830" w:rsidRPr="00CB2647">
        <w:t>.</w:t>
      </w:r>
      <w:r w:rsidR="00D03EFC">
        <w:t xml:space="preserve"> </w:t>
      </w:r>
      <w:r w:rsidR="00155CF4" w:rsidRPr="00CB2647">
        <w:t>GnRH an</w:t>
      </w:r>
      <w:r w:rsidR="008B7D75" w:rsidRPr="00CB2647">
        <w:t>tagonistleri başlangıçtaki stimu</w:t>
      </w:r>
      <w:r w:rsidR="00155CF4" w:rsidRPr="00CB2647">
        <w:t>lator etki olmaksızın pitüiter gonadotropin reseptörlerini hızlı bir şeklide bloke eder.</w:t>
      </w:r>
      <w:r w:rsidR="00D03EFC">
        <w:t xml:space="preserve"> </w:t>
      </w:r>
      <w:r w:rsidR="00155CF4" w:rsidRPr="00CB2647">
        <w:t>Bunların kullanımı ile istenmeyen LH ve progesteron yükselmesi de inhibe olacağından</w:t>
      </w:r>
      <w:r w:rsidR="008B7D75" w:rsidRPr="00CB2647">
        <w:t xml:space="preserve"> gonadotropinlerle stimulasyona </w:t>
      </w:r>
      <w:r w:rsidR="00155CF4" w:rsidRPr="00CB2647">
        <w:t>antagonistleri k</w:t>
      </w:r>
      <w:r w:rsidR="008738F7" w:rsidRPr="00CB2647">
        <w:t xml:space="preserve">ullanmaya başlamadan </w:t>
      </w:r>
      <w:r w:rsidR="00155CF4" w:rsidRPr="00CB2647">
        <w:t>önce</w:t>
      </w:r>
      <w:r w:rsidR="008B7D75" w:rsidRPr="00CB2647">
        <w:t>de</w:t>
      </w:r>
      <w:r w:rsidR="00155CF4" w:rsidRPr="00CB2647">
        <w:t xml:space="preserve"> başlanabilmektedir. Kötü over rezervli olgularda alternatif rejimlerle GnRHant</w:t>
      </w:r>
      <w:r w:rsidR="008B7D75" w:rsidRPr="00CB2647">
        <w:t>agonist</w:t>
      </w:r>
      <w:r w:rsidR="00155CF4" w:rsidRPr="00CB2647">
        <w:t xml:space="preserve"> protokollerini </w:t>
      </w:r>
      <w:r w:rsidR="008B7D75" w:rsidRPr="00CB2647">
        <w:t>karşılaştıran çalışmalar bulunm</w:t>
      </w:r>
      <w:r w:rsidR="00155CF4" w:rsidRPr="00CB2647">
        <w:t>a</w:t>
      </w:r>
      <w:r w:rsidR="008B7D75" w:rsidRPr="00CB2647">
        <w:t>k</w:t>
      </w:r>
      <w:r w:rsidR="00155CF4" w:rsidRPr="00CB2647">
        <w:t>tadır.</w:t>
      </w:r>
    </w:p>
    <w:p w:rsidR="00155CF4" w:rsidRPr="00CB2647" w:rsidRDefault="005654C6" w:rsidP="005654C6">
      <w:r w:rsidRPr="00CB2647">
        <w:tab/>
      </w:r>
      <w:r w:rsidR="00B04830" w:rsidRPr="00CB2647">
        <w:t>Y</w:t>
      </w:r>
      <w:r w:rsidR="00C940E3" w:rsidRPr="00CB2647">
        <w:t>apılan randomize ko</w:t>
      </w:r>
      <w:r w:rsidR="00B04830" w:rsidRPr="00CB2647">
        <w:t>ntollü çalışmaların</w:t>
      </w:r>
      <w:r w:rsidR="00C940E3" w:rsidRPr="00CB2647">
        <w:t xml:space="preserve"> meta-analizinde GnRH anta</w:t>
      </w:r>
      <w:r w:rsidR="00B04830" w:rsidRPr="00CB2647">
        <w:t>go</w:t>
      </w:r>
      <w:r w:rsidR="00C940E3" w:rsidRPr="00CB2647">
        <w:t>nisti ile birlikte</w:t>
      </w:r>
      <w:r w:rsidR="005E0AF1" w:rsidRPr="00CB2647">
        <w:t xml:space="preserve"> gonadotropinlerin kullanımı ve</w:t>
      </w:r>
      <w:r w:rsidR="00B04830" w:rsidRPr="00CB2647">
        <w:t>uzun agonist veya kısa rejimlerin kullanılması arasında gebelik oran</w:t>
      </w:r>
      <w:r w:rsidR="008B7D75" w:rsidRPr="00CB2647">
        <w:t>ları açısından fark görülmemiştir</w:t>
      </w:r>
      <w:r w:rsidR="004C6983" w:rsidRPr="00CB2647">
        <w:t>(48</w:t>
      </w:r>
      <w:r w:rsidR="00B04830" w:rsidRPr="00CB2647">
        <w:t>)</w:t>
      </w:r>
      <w:r w:rsidR="007175EA" w:rsidRPr="00CB2647">
        <w:t>.</w:t>
      </w:r>
    </w:p>
    <w:p w:rsidR="00B04830" w:rsidRPr="00CB2647" w:rsidRDefault="005654C6" w:rsidP="005654C6">
      <w:r w:rsidRPr="00CB2647">
        <w:lastRenderedPageBreak/>
        <w:tab/>
      </w:r>
      <w:r w:rsidR="00155CF4" w:rsidRPr="00CB2647">
        <w:t xml:space="preserve">Lainas ve arkadaşları tarafından </w:t>
      </w:r>
      <w:r w:rsidR="002B55C8" w:rsidRPr="00CB2647">
        <w:t>kötü ovaryan yanıtlı olgulard</w:t>
      </w:r>
      <w:r w:rsidR="00AC0FE7" w:rsidRPr="00CB2647">
        <w:t>a flare protokol ile multidoz Gn</w:t>
      </w:r>
      <w:r w:rsidR="002B55C8" w:rsidRPr="00CB2647">
        <w:t>RHant fixed prot</w:t>
      </w:r>
      <w:r w:rsidR="00545EC5" w:rsidRPr="00CB2647">
        <w:t>o</w:t>
      </w:r>
      <w:r w:rsidR="002B55C8" w:rsidRPr="00CB2647">
        <w:t>kol karşılaştırılmış ve GnRHant uygulanan grupta gebelik oranları anlam</w:t>
      </w:r>
      <w:r w:rsidR="001D3245" w:rsidRPr="00CB2647">
        <w:t>lı olarak yüksek bulunmuştur</w:t>
      </w:r>
      <w:r w:rsidR="004C6983" w:rsidRPr="00CB2647">
        <w:t>(49</w:t>
      </w:r>
      <w:r w:rsidR="002B55C8" w:rsidRPr="00CB2647">
        <w:t>)</w:t>
      </w:r>
      <w:r w:rsidR="001D3245" w:rsidRPr="00CB2647">
        <w:t>.</w:t>
      </w:r>
      <w:r w:rsidR="007175EA" w:rsidRPr="00CB2647">
        <w:t>Polyzos ve arkadaş</w:t>
      </w:r>
      <w:r w:rsidR="00B04830" w:rsidRPr="00CB2647">
        <w:t xml:space="preserve">larının çalışmasında </w:t>
      </w:r>
      <w:r w:rsidR="007175EA" w:rsidRPr="00CB2647">
        <w:t xml:space="preserve">GnRH antagonist protokolünde corifollitropin alfa ile hp-HMG’nin birlikte </w:t>
      </w:r>
      <w:r w:rsidR="005E0AF1" w:rsidRPr="00CB2647">
        <w:t>kullanımı denenmiştir</w:t>
      </w:r>
      <w:r w:rsidR="001F5204" w:rsidRPr="00CB2647">
        <w:t xml:space="preserve"> ve gebelik sonuçları açısından u</w:t>
      </w:r>
      <w:r w:rsidR="005E0AF1" w:rsidRPr="00CB2647">
        <w:t>mut verici sonuçlar elde edilmiştir.</w:t>
      </w:r>
    </w:p>
    <w:p w:rsidR="005654C6" w:rsidRPr="00CB2647" w:rsidRDefault="005654C6" w:rsidP="005654C6"/>
    <w:p w:rsidR="00E7696C" w:rsidRPr="007A105C" w:rsidRDefault="005654C6" w:rsidP="005654C6">
      <w:pPr>
        <w:rPr>
          <w:b/>
        </w:rPr>
      </w:pPr>
      <w:r w:rsidRPr="007A105C">
        <w:rPr>
          <w:b/>
        </w:rPr>
        <w:tab/>
      </w:r>
      <w:r w:rsidR="00E7696C" w:rsidRPr="007A105C">
        <w:rPr>
          <w:b/>
        </w:rPr>
        <w:t>GnRHantagonistlerinin östrodiol priming ile birlikte kullanımı</w:t>
      </w:r>
    </w:p>
    <w:p w:rsidR="00E7696C" w:rsidRPr="00CB2647" w:rsidRDefault="005654C6" w:rsidP="005654C6">
      <w:r w:rsidRPr="00CB2647">
        <w:tab/>
      </w:r>
      <w:r w:rsidR="00E7696C" w:rsidRPr="00CB2647">
        <w:t>Luteal fazda östrodiol uygulaması daha dirençlı folliküllerde FSH reseptör oluşumunu indükleyerek daha koordine gonado</w:t>
      </w:r>
      <w:r w:rsidR="00D61EBB" w:rsidRPr="00CB2647">
        <w:t>tropin cevabını</w:t>
      </w:r>
      <w:r w:rsidR="005E0AF1" w:rsidRPr="00CB2647">
        <w:t xml:space="preserve"> sağlayabilmektedir</w:t>
      </w:r>
      <w:r w:rsidR="004C6983" w:rsidRPr="00CB2647">
        <w:t>(50</w:t>
      </w:r>
      <w:r w:rsidR="00E7696C" w:rsidRPr="00CB2647">
        <w:t>)</w:t>
      </w:r>
      <w:r w:rsidR="001D3245" w:rsidRPr="00CB2647">
        <w:t>.</w:t>
      </w:r>
    </w:p>
    <w:p w:rsidR="005654C6" w:rsidRPr="00CB2647" w:rsidRDefault="005654C6" w:rsidP="005654C6">
      <w:pPr>
        <w:rPr>
          <w:b/>
          <w:u w:val="single"/>
        </w:rPr>
      </w:pPr>
    </w:p>
    <w:p w:rsidR="00E7696C" w:rsidRPr="007A105C" w:rsidRDefault="005654C6" w:rsidP="005654C6">
      <w:pPr>
        <w:rPr>
          <w:b/>
        </w:rPr>
      </w:pPr>
      <w:r w:rsidRPr="007A105C">
        <w:rPr>
          <w:b/>
        </w:rPr>
        <w:tab/>
      </w:r>
      <w:r w:rsidR="00E7696C" w:rsidRPr="007A105C">
        <w:rPr>
          <w:b/>
        </w:rPr>
        <w:t>GnRH antagonistlerinin klomifen sitrat ve aromataz inhibitörleri ile birlikte kullanımı</w:t>
      </w:r>
    </w:p>
    <w:p w:rsidR="00E7696C" w:rsidRPr="00CB2647" w:rsidRDefault="005654C6" w:rsidP="005654C6">
      <w:r w:rsidRPr="00CB2647">
        <w:tab/>
      </w:r>
      <w:r w:rsidR="00C117C5" w:rsidRPr="00CB2647">
        <w:t>Klomifen sitrat veya aromataz inhibitörlerini folliküler fazda endojen gonadotropin salın</w:t>
      </w:r>
      <w:r w:rsidR="005E0AF1" w:rsidRPr="00CB2647">
        <w:t>ı</w:t>
      </w:r>
      <w:r w:rsidR="00C117C5" w:rsidRPr="00CB2647">
        <w:t>mını artırabilmesi nedeniyle GnRHant</w:t>
      </w:r>
      <w:r w:rsidR="005E0AF1" w:rsidRPr="00CB2647">
        <w:t xml:space="preserve">agonist </w:t>
      </w:r>
      <w:r w:rsidR="00C117C5" w:rsidRPr="00CB2647">
        <w:t>prokolüne eklenerek kullanılması seçeneği uygulanmaya başlanmıştır.</w:t>
      </w:r>
      <w:r w:rsidR="00D03EFC">
        <w:t xml:space="preserve"> </w:t>
      </w:r>
      <w:r w:rsidR="00C117C5" w:rsidRPr="00CB2647">
        <w:t>Craft ve arka</w:t>
      </w:r>
      <w:r w:rsidR="005E0AF1" w:rsidRPr="00CB2647">
        <w:t xml:space="preserve">daşlarının yaptıkları çalışmada, </w:t>
      </w:r>
      <w:r w:rsidR="00C117C5" w:rsidRPr="00CB2647">
        <w:t>GnRHant</w:t>
      </w:r>
      <w:r w:rsidR="005E0AF1" w:rsidRPr="00CB2647">
        <w:t>agonist</w:t>
      </w:r>
      <w:r w:rsidR="00C117C5" w:rsidRPr="00CB2647">
        <w:t xml:space="preserve"> ve klomifen sitrat kombinasyonu siklus iptal oranlarında azalmaya ve implantasyon oranlarında artışa neden oldukları görülmüştür.</w:t>
      </w:r>
    </w:p>
    <w:p w:rsidR="005654C6" w:rsidRPr="00CB2647" w:rsidRDefault="005654C6" w:rsidP="005654C6"/>
    <w:p w:rsidR="00C117C5" w:rsidRPr="007A105C" w:rsidRDefault="005654C6" w:rsidP="005654C6">
      <w:pPr>
        <w:rPr>
          <w:b/>
        </w:rPr>
      </w:pPr>
      <w:r w:rsidRPr="007A105C">
        <w:rPr>
          <w:b/>
        </w:rPr>
        <w:tab/>
      </w:r>
      <w:r w:rsidR="00C117C5" w:rsidRPr="007A105C">
        <w:rPr>
          <w:b/>
        </w:rPr>
        <w:t>Adjuvan tedaviler</w:t>
      </w:r>
    </w:p>
    <w:p w:rsidR="00635F7B" w:rsidRPr="00CB2647" w:rsidRDefault="005654C6" w:rsidP="005654C6">
      <w:r w:rsidRPr="00CB2647">
        <w:tab/>
      </w:r>
      <w:r w:rsidR="00AC0FE7" w:rsidRPr="00CB2647">
        <w:t>Gonadotropin stimülasyon p</w:t>
      </w:r>
      <w:r w:rsidR="00C117C5" w:rsidRPr="00CB2647">
        <w:t>rokoller</w:t>
      </w:r>
      <w:r w:rsidR="008871EC" w:rsidRPr="00CB2647">
        <w:t>ine adjuvan tedavile</w:t>
      </w:r>
      <w:r w:rsidR="005E0AF1" w:rsidRPr="00CB2647">
        <w:t>r</w:t>
      </w:r>
      <w:r w:rsidR="008871EC" w:rsidRPr="00CB2647">
        <w:t xml:space="preserve"> eklenerek ovaryan cevabi iyileştirmedeki cevapları araştırılmıştır.</w:t>
      </w:r>
      <w:r w:rsidR="00D03EFC">
        <w:t xml:space="preserve"> </w:t>
      </w:r>
      <w:r w:rsidR="008871EC" w:rsidRPr="00CB2647">
        <w:t>Bunlardan biri L-arjinindir ve kullnaılması</w:t>
      </w:r>
      <w:r w:rsidR="004B1697" w:rsidRPr="00CB2647">
        <w:t>ndaki neden</w:t>
      </w:r>
      <w:r w:rsidR="008871EC" w:rsidRPr="00CB2647">
        <w:t xml:space="preserve"> L-arjinin kaynaklı nitrik oksitin periovulatuar lokal vazodilataör etkiye sahip olmasıdır.</w:t>
      </w:r>
      <w:r w:rsidR="004B1697" w:rsidRPr="00CB2647">
        <w:t>Fayd</w:t>
      </w:r>
      <w:r w:rsidR="00370CEB" w:rsidRPr="00CB2647">
        <w:t>ası araştırılan bir diğer adju</w:t>
      </w:r>
      <w:r w:rsidR="004B1697" w:rsidRPr="00CB2647">
        <w:t>van tedavi büyüme hormonudur.Ovaryan steroidogenezi indükleyebilir ve insülin benzeri büy</w:t>
      </w:r>
      <w:r w:rsidR="00C200F2" w:rsidRPr="00CB2647">
        <w:t>üme faktörünün (IGF-1)üretimini artır</w:t>
      </w:r>
      <w:r w:rsidR="005E0AF1" w:rsidRPr="00CB2647">
        <w:t xml:space="preserve">arak oosit matürasyonuna neden </w:t>
      </w:r>
      <w:r w:rsidR="004B1697" w:rsidRPr="00CB2647">
        <w:t>olabilmektedir.</w:t>
      </w:r>
    </w:p>
    <w:p w:rsidR="00635F7B" w:rsidRPr="00CB2647" w:rsidRDefault="005654C6" w:rsidP="005654C6">
      <w:r w:rsidRPr="00CB2647">
        <w:tab/>
      </w:r>
      <w:r w:rsidR="00C200F2" w:rsidRPr="00CB2647">
        <w:t>D</w:t>
      </w:r>
      <w:r w:rsidR="004B1697" w:rsidRPr="00CB2647">
        <w:t>ehidroepiandrosteron(DHEA)suplementasyonuda ovaryan steroidogenezde prekürsor olduğu</w:t>
      </w:r>
      <w:r w:rsidR="00C200F2" w:rsidRPr="00CB2647">
        <w:t xml:space="preserve"> ve İGF-1 sekresyonunu artırabileceği düşünülmektedir</w:t>
      </w:r>
      <w:r w:rsidR="00635F7B" w:rsidRPr="00CB2647">
        <w:t>.</w:t>
      </w:r>
      <w:r w:rsidR="00D03EFC">
        <w:t xml:space="preserve"> </w:t>
      </w:r>
      <w:r w:rsidR="00635F7B" w:rsidRPr="00CB2647">
        <w:t>Bununla ilgili yapılan bir çalışmada İVF siklusundan önce 75 mg/gün dozunda mak</w:t>
      </w:r>
      <w:r w:rsidR="00370CEB" w:rsidRPr="00CB2647">
        <w:t>simum 4 ay DHEA uygulanmıştır</w:t>
      </w:r>
      <w:r w:rsidR="004C6983" w:rsidRPr="00CB2647">
        <w:t>(51</w:t>
      </w:r>
      <w:r w:rsidR="00635F7B" w:rsidRPr="00CB2647">
        <w:t>)</w:t>
      </w:r>
      <w:r w:rsidR="00370CEB" w:rsidRPr="00CB2647">
        <w:t xml:space="preserve">.DHEA verilmeyen </w:t>
      </w:r>
      <w:r w:rsidR="00635F7B" w:rsidRPr="00CB2647">
        <w:t>grupla karşılaştırıldığında siklus iptal oranları ve implantasyon oranları açısından fark saptanmamıştır fakat DHEA grubunda klinik gebelik oranlarının daha yüksek olduğu izlenmiştir.Bu çalışmada DHEA</w:t>
      </w:r>
      <w:r w:rsidR="001838EC" w:rsidRPr="00CB2647">
        <w:t>’nın</w:t>
      </w:r>
      <w:r w:rsidR="00635F7B" w:rsidRPr="00CB2647">
        <w:t xml:space="preserve"> farklı uygulama sürelerinde verilmesi ve hastaların çoğunun İVF uygulanmadan gebe kalmış olmaları</w:t>
      </w:r>
      <w:r w:rsidR="00D61EBB" w:rsidRPr="00CB2647">
        <w:t xml:space="preserve"> daha iyi tasarlanmış</w:t>
      </w:r>
      <w:r w:rsidR="001838EC" w:rsidRPr="00CB2647">
        <w:t xml:space="preserve"> prospektif çalışmalara ihtiyaç doğurmuştur.</w:t>
      </w:r>
    </w:p>
    <w:p w:rsidR="00C200F2" w:rsidRPr="007A105C" w:rsidRDefault="005654C6" w:rsidP="005654C6">
      <w:pPr>
        <w:rPr>
          <w:b/>
        </w:rPr>
      </w:pPr>
      <w:r w:rsidRPr="007A105C">
        <w:rPr>
          <w:b/>
        </w:rPr>
        <w:lastRenderedPageBreak/>
        <w:tab/>
      </w:r>
      <w:r w:rsidR="00C200F2" w:rsidRPr="007A105C">
        <w:rPr>
          <w:b/>
        </w:rPr>
        <w:t>Doğal Siklus</w:t>
      </w:r>
    </w:p>
    <w:p w:rsidR="00C200F2" w:rsidRPr="00CB2647" w:rsidRDefault="005654C6" w:rsidP="005654C6">
      <w:r w:rsidRPr="00CB2647">
        <w:tab/>
      </w:r>
      <w:r w:rsidR="00F92123" w:rsidRPr="00CB2647">
        <w:t xml:space="preserve">Özellikle son 2 </w:t>
      </w:r>
      <w:r w:rsidR="005E0AF1" w:rsidRPr="00CB2647">
        <w:t>siklusta gonadotropinlerle stimu</w:t>
      </w:r>
      <w:r w:rsidR="00F92123" w:rsidRPr="00CB2647">
        <w:t>lasyonda kötü ovaryan yanıt gösteren hastalarda kullanımı gündeme gelmiştir</w:t>
      </w:r>
      <w:r w:rsidR="00DC0A9D" w:rsidRPr="00CB2647">
        <w:t>.</w:t>
      </w:r>
      <w:r w:rsidR="00D03EFC">
        <w:t xml:space="preserve"> </w:t>
      </w:r>
      <w:r w:rsidR="00DC0A9D" w:rsidRPr="00CB2647">
        <w:t>H</w:t>
      </w:r>
      <w:r w:rsidR="005E0AF1" w:rsidRPr="00CB2647">
        <w:t xml:space="preserve">astalara </w:t>
      </w:r>
      <w:r w:rsidR="00152139" w:rsidRPr="00CB2647">
        <w:t>follikül</w:t>
      </w:r>
      <w:r w:rsidR="00C200F2" w:rsidRPr="00CB2647">
        <w:t xml:space="preserve"> gelişi</w:t>
      </w:r>
      <w:r w:rsidR="00152139" w:rsidRPr="00CB2647">
        <w:t>mi</w:t>
      </w:r>
      <w:r w:rsidR="00C200F2" w:rsidRPr="00CB2647">
        <w:t xml:space="preserve"> ultrason</w:t>
      </w:r>
      <w:r w:rsidR="00C53E6F" w:rsidRPr="00CB2647">
        <w:t>ografi</w:t>
      </w:r>
      <w:r w:rsidR="00C200F2" w:rsidRPr="00CB2647">
        <w:t xml:space="preserve"> ile takip edilmekte ve dominat follikülün çapı &gt;16 mm olduğunda HCG uygulanmakta ve luteal faz desteği verilmektedir.Kötü over rezervli 294 kadına ait 500 ardışık doğal s</w:t>
      </w:r>
      <w:r w:rsidR="00370CEB" w:rsidRPr="00CB2647">
        <w:t>iklus sonuçları incelenmiştir</w:t>
      </w:r>
      <w:r w:rsidR="004C6983" w:rsidRPr="00CB2647">
        <w:t>(52</w:t>
      </w:r>
      <w:r w:rsidR="00C200F2" w:rsidRPr="00CB2647">
        <w:t>)</w:t>
      </w:r>
      <w:r w:rsidR="00370CEB" w:rsidRPr="00CB2647">
        <w:t>.</w:t>
      </w:r>
      <w:r w:rsidR="00C200F2" w:rsidRPr="00CB2647">
        <w:t>Embriyo transferi siklusların %57’sinde yapılmıştır.Toplam siklus b</w:t>
      </w:r>
      <w:r w:rsidR="005E0AF1" w:rsidRPr="00CB2647">
        <w:t>aşına gebelik oranı %9,</w:t>
      </w:r>
      <w:r w:rsidR="00C200F2" w:rsidRPr="00CB2647">
        <w:t>8 olarak</w:t>
      </w:r>
      <w:r w:rsidR="00152139" w:rsidRPr="00CB2647">
        <w:t xml:space="preserve"> açıklanmıştır fakat embriyo tr</w:t>
      </w:r>
      <w:r w:rsidR="00C200F2" w:rsidRPr="00CB2647">
        <w:t>a</w:t>
      </w:r>
      <w:r w:rsidR="00152139" w:rsidRPr="00CB2647">
        <w:t>n</w:t>
      </w:r>
      <w:r w:rsidR="005E0AF1" w:rsidRPr="00CB2647">
        <w:t>sferi başına gebelik oranı %17,</w:t>
      </w:r>
      <w:r w:rsidR="00C200F2" w:rsidRPr="00CB2647">
        <w:t>1 olarak bulunmuştur.</w:t>
      </w:r>
    </w:p>
    <w:p w:rsidR="005654C6" w:rsidRPr="00CB2647" w:rsidRDefault="005654C6" w:rsidP="005654C6"/>
    <w:p w:rsidR="004743F0" w:rsidRPr="00CB2647" w:rsidRDefault="00105942" w:rsidP="005654C6">
      <w:pPr>
        <w:pStyle w:val="Balk2"/>
      </w:pPr>
      <w:bookmarkStart w:id="17" w:name="_Toc432062029"/>
      <w:r w:rsidRPr="00CB2647">
        <w:t>2.5</w:t>
      </w:r>
      <w:r w:rsidR="004743F0" w:rsidRPr="00CB2647">
        <w:t>.</w:t>
      </w:r>
      <w:r w:rsidR="00E30C81" w:rsidRPr="00CB2647">
        <w:t xml:space="preserve"> Yumurta Toplama (OPU)</w:t>
      </w:r>
      <w:bookmarkEnd w:id="17"/>
    </w:p>
    <w:p w:rsidR="00E30C81" w:rsidRPr="00CB2647" w:rsidRDefault="00E02D8A" w:rsidP="00E02D8A">
      <w:r w:rsidRPr="00CB2647">
        <w:tab/>
      </w:r>
      <w:r w:rsidR="00C53E6F" w:rsidRPr="00CB2647">
        <w:t xml:space="preserve">Uzun in-vitro fertilizasyon </w:t>
      </w:r>
      <w:r w:rsidR="00046F64" w:rsidRPr="00CB2647">
        <w:t xml:space="preserve">tedavileri sonrası </w:t>
      </w:r>
      <w:r w:rsidR="005E0AF1" w:rsidRPr="00CB2647">
        <w:t>yumurta toplama</w:t>
      </w:r>
      <w:r w:rsidR="00947C6C" w:rsidRPr="00CB2647">
        <w:t xml:space="preserve"> işlemi </w:t>
      </w:r>
      <w:r w:rsidR="005E0AF1" w:rsidRPr="00CB2647">
        <w:t>en kısa periyodu oluştursada iş</w:t>
      </w:r>
      <w:r w:rsidR="00046F64" w:rsidRPr="00CB2647">
        <w:t>l</w:t>
      </w:r>
      <w:r w:rsidR="005E0AF1" w:rsidRPr="00CB2647">
        <w:t>e</w:t>
      </w:r>
      <w:r w:rsidR="00046F64" w:rsidRPr="00CB2647">
        <w:t>min hangi teknikle yapıldığı,</w:t>
      </w:r>
      <w:r w:rsidR="00D03EFC">
        <w:t xml:space="preserve"> </w:t>
      </w:r>
      <w:r w:rsidR="00046F64" w:rsidRPr="00CB2647">
        <w:t>elde edilen oosit sayısı ve gelişebilecek komplikasyonlar açısından oldukça önem taşıyan bir süreçtir.</w:t>
      </w:r>
    </w:p>
    <w:p w:rsidR="004C6983" w:rsidRPr="00CB2647" w:rsidRDefault="00E02D8A" w:rsidP="00E02D8A">
      <w:r w:rsidRPr="00CB2647">
        <w:tab/>
      </w:r>
      <w:r w:rsidR="00046F64" w:rsidRPr="00CB2647">
        <w:t>Oosit toplama işlemi hCG uygul</w:t>
      </w:r>
      <w:r w:rsidR="005654C6" w:rsidRPr="00CB2647">
        <w:t>a</w:t>
      </w:r>
      <w:r w:rsidR="00046F64" w:rsidRPr="00CB2647">
        <w:t>masından yaklaşık 36 saat sonra yapılmaktadır.</w:t>
      </w:r>
      <w:r w:rsidR="00D03EFC">
        <w:t xml:space="preserve"> </w:t>
      </w:r>
      <w:r w:rsidR="00046F64" w:rsidRPr="00CB2647">
        <w:t>Bu süre oldukça önemlidir çünkü işlemin erken yapılm</w:t>
      </w:r>
      <w:r w:rsidR="005E0AF1" w:rsidRPr="00CB2647">
        <w:t xml:space="preserve">ası halinde </w:t>
      </w:r>
      <w:r w:rsidR="00046F64" w:rsidRPr="00CB2647">
        <w:t>immatür oositler elde edilebilirken geç yapılması halinde ise spontan ovulasyon olabilmekte</w:t>
      </w:r>
      <w:r w:rsidR="005E0AF1" w:rsidRPr="00CB2647">
        <w:t>dir</w:t>
      </w:r>
      <w:r w:rsidR="00046F64" w:rsidRPr="00CB2647">
        <w:t>,oosit kalitesi ve fertilizasyon oran</w:t>
      </w:r>
      <w:r w:rsidR="008939F4" w:rsidRPr="00CB2647">
        <w:t>larını olumsuz etkile</w:t>
      </w:r>
      <w:r w:rsidR="005E0AF1" w:rsidRPr="00CB2647">
        <w:t>nebil</w:t>
      </w:r>
      <w:r w:rsidR="008939F4" w:rsidRPr="00CB2647">
        <w:t>mektedir</w:t>
      </w:r>
      <w:r w:rsidR="004C6983" w:rsidRPr="00CB2647">
        <w:t>(53</w:t>
      </w:r>
      <w:r w:rsidR="00046F64" w:rsidRPr="00CB2647">
        <w:t>)</w:t>
      </w:r>
      <w:r w:rsidR="008939F4" w:rsidRPr="00CB2647">
        <w:t>.</w:t>
      </w:r>
    </w:p>
    <w:p w:rsidR="004C6983" w:rsidRPr="00CB2647" w:rsidRDefault="00E02D8A" w:rsidP="00E02D8A">
      <w:r w:rsidRPr="00CB2647">
        <w:tab/>
      </w:r>
      <w:r w:rsidR="00BC1E50" w:rsidRPr="00CB2647">
        <w:t xml:space="preserve">Finalfollikül matürasyonunda GnRH antagonist protokolünde GnRH agonist ile yumurta çatlatma uygulamasında OHSS riski azalmıştır(54). Ancak gebelik oranlarının azalmış olduğu ve artmış birinci trimestır gebelik kaybı olması nedeniyle sonuçları düzeltme amacıyla luteal </w:t>
      </w:r>
      <w:r w:rsidR="00055D98" w:rsidRPr="00CB2647">
        <w:t>faz</w:t>
      </w:r>
      <w:r w:rsidR="00BC1E50" w:rsidRPr="00CB2647">
        <w:t xml:space="preserve"> ma</w:t>
      </w:r>
      <w:r w:rsidR="00055D98" w:rsidRPr="00CB2647">
        <w:t>nipule edilmeye çalışılmıştır</w:t>
      </w:r>
      <w:r w:rsidR="00BC1E50" w:rsidRPr="00CB2647">
        <w:t xml:space="preserve">. Bu amaçla </w:t>
      </w:r>
      <w:r w:rsidR="00DB5C79" w:rsidRPr="00CB2647">
        <w:t>düşük doz (1</w:t>
      </w:r>
      <w:r w:rsidR="00055D98" w:rsidRPr="00CB2647">
        <w:t>500 IU) hCG uygulanmaya başlanmıştır</w:t>
      </w:r>
      <w:r w:rsidR="00DB5C79" w:rsidRPr="00CB2647">
        <w:t>(55,56).</w:t>
      </w:r>
    </w:p>
    <w:p w:rsidR="00DB5C79" w:rsidRPr="00CB2647" w:rsidRDefault="00E02D8A" w:rsidP="00E02D8A">
      <w:r w:rsidRPr="00CB2647">
        <w:tab/>
      </w:r>
      <w:r w:rsidR="00DB5C79" w:rsidRPr="00CB2647">
        <w:t>Standart doz hCG ile GnRHa’nin birlikte kullanımı (dual trigger): yumurta toplama işleminden 35-37 saat uygulanmaktadı</w:t>
      </w:r>
      <w:r w:rsidR="00757900" w:rsidRPr="00CB2647">
        <w:t>r.</w:t>
      </w:r>
      <w:r w:rsidR="00D03EFC">
        <w:t xml:space="preserve"> </w:t>
      </w:r>
      <w:r w:rsidR="00757900" w:rsidRPr="00CB2647">
        <w:t xml:space="preserve">Lin ve arkadaşlarının retrospektif </w:t>
      </w:r>
      <w:r w:rsidR="00DB5C79" w:rsidRPr="00CB2647">
        <w:t>çalışma</w:t>
      </w:r>
      <w:r w:rsidR="00757900" w:rsidRPr="00CB2647">
        <w:t>sında</w:t>
      </w:r>
      <w:r w:rsidR="00D03EFC">
        <w:t xml:space="preserve"> </w:t>
      </w:r>
      <w:r w:rsidR="00D049A4" w:rsidRPr="00CB2647">
        <w:t>standart doz hCG(6500 IU recombinant hCG) ile dual trigger (0.2 mmg triptorelin ve 6500 IU recombinant hCG) karşılaştırması</w:t>
      </w:r>
      <w:r w:rsidR="001F61D9" w:rsidRPr="00CB2647">
        <w:t xml:space="preserve"> yapılmıştır. Dual trigger </w:t>
      </w:r>
      <w:r w:rsidR="00757900" w:rsidRPr="00CB2647">
        <w:t>uygulanan grupta istatistiksel olarak anlamlı daha fazla sayıda oosit toplanmıştır, matür o</w:t>
      </w:r>
      <w:r w:rsidR="00D03EFC">
        <w:t>o</w:t>
      </w:r>
      <w:r w:rsidR="00757900" w:rsidRPr="00CB2647">
        <w:t xml:space="preserve">sit sayısı ve dondurulmuş embriyo sayısında artış gözlenmiştir. Sadece hCG uygulanan grup ile karşılaştırıldığında </w:t>
      </w:r>
      <w:r w:rsidR="001F61D9" w:rsidRPr="00CB2647">
        <w:t>implantasyon oranlarında, klinik gebelik ve canlı doğum oranlarında</w:t>
      </w:r>
      <w:r w:rsidR="001E03EB" w:rsidRPr="00CB2647">
        <w:t xml:space="preserve"> da</w:t>
      </w:r>
      <w:r w:rsidR="00D03EFC">
        <w:t xml:space="preserve"> </w:t>
      </w:r>
      <w:r w:rsidR="00FD66D8" w:rsidRPr="00CB2647">
        <w:t>artış olduğu gözlenmiştir(57).</w:t>
      </w:r>
    </w:p>
    <w:p w:rsidR="00FD66D8" w:rsidRPr="00CB2647" w:rsidRDefault="00E02D8A" w:rsidP="00E02D8A">
      <w:r w:rsidRPr="00CB2647">
        <w:tab/>
      </w:r>
      <w:r w:rsidR="00FD66D8" w:rsidRPr="00CB2647">
        <w:t xml:space="preserve">OPU’dan 40 saat önce GnRHagonistinin ve 34 saat önce standart hCG dozunun uygulanması (double trigger): </w:t>
      </w:r>
      <w:r w:rsidR="00B111E9" w:rsidRPr="00CB2647">
        <w:t>Beck-Fruchter ve arkadaşları yaptık</w:t>
      </w:r>
      <w:r w:rsidR="00055D98" w:rsidRPr="00CB2647">
        <w:t>ları çalışmada yumurta toplama</w:t>
      </w:r>
      <w:r w:rsidR="00B111E9" w:rsidRPr="00CB2647">
        <w:t xml:space="preserve"> işleminde 40 saat önce GnRHa ile 34 saat önce hCG uygulama</w:t>
      </w:r>
      <w:r w:rsidR="00F819E4" w:rsidRPr="00CB2647">
        <w:t xml:space="preserve">sı ile </w:t>
      </w:r>
      <w:r w:rsidR="00F819E4" w:rsidRPr="00CB2647">
        <w:lastRenderedPageBreak/>
        <w:t xml:space="preserve">tekrarlayan boş follikül </w:t>
      </w:r>
      <w:r w:rsidR="00B111E9" w:rsidRPr="00CB2647">
        <w:t>se</w:t>
      </w:r>
      <w:r w:rsidR="00F819E4" w:rsidRPr="00CB2647">
        <w:t xml:space="preserve">ndromu olan hastayı </w:t>
      </w:r>
      <w:r w:rsidR="00B111E9" w:rsidRPr="00CB2647">
        <w:t>baş</w:t>
      </w:r>
      <w:r w:rsidR="00F819E4" w:rsidRPr="00CB2647">
        <w:t xml:space="preserve">arılı şekilde </w:t>
      </w:r>
      <w:r w:rsidR="0019295A" w:rsidRPr="00CB2647">
        <w:t>te</w:t>
      </w:r>
      <w:r w:rsidR="00F819E4" w:rsidRPr="00CB2647">
        <w:t>d</w:t>
      </w:r>
      <w:r w:rsidR="0019295A" w:rsidRPr="00CB2647">
        <w:t>a</w:t>
      </w:r>
      <w:r w:rsidR="00F819E4" w:rsidRPr="00CB2647">
        <w:t>vi etmişlerdir</w:t>
      </w:r>
      <w:r w:rsidR="00EC3EB1" w:rsidRPr="00CB2647">
        <w:t>(58).</w:t>
      </w:r>
      <w:r w:rsidR="00B111E9" w:rsidRPr="00CB2647">
        <w:t>OP</w:t>
      </w:r>
      <w:r w:rsidR="00DC3C78" w:rsidRPr="00CB2647">
        <w:t>U ile yumurta çatlatma iğne uygulamasının</w:t>
      </w:r>
      <w:r w:rsidR="00B111E9" w:rsidRPr="00CB2647">
        <w:t xml:space="preserve"> zaman aralığının uzamış olması ile granüloza hücre işlevinde, oositin mayoz matürasyonunda veya kumulus genişlemesinde iyileşme göstererek oositin başarılı aspirasyonuna,</w:t>
      </w:r>
      <w:r w:rsidR="00D03EFC">
        <w:t xml:space="preserve"> </w:t>
      </w:r>
      <w:r w:rsidR="00B111E9" w:rsidRPr="00CB2647">
        <w:t xml:space="preserve">başarılı gebelik ve doğuma </w:t>
      </w:r>
      <w:r w:rsidR="00EC3EB1" w:rsidRPr="00CB2647">
        <w:t>neden olabileceği düşünülmüştür(59). Bu işlem aynı zamanda az sayıda toplanan  &gt;14 mm üzerindeki follikülü ve az sayıda matür metafaz II oosit sayısı olan olgulara uygulanması önerilmiştir(60,61).</w:t>
      </w:r>
    </w:p>
    <w:p w:rsidR="00E01C33" w:rsidRPr="00CB2647" w:rsidRDefault="00E02D8A" w:rsidP="00E02D8A">
      <w:r w:rsidRPr="00CB2647">
        <w:tab/>
      </w:r>
      <w:r w:rsidR="00E01C33" w:rsidRPr="00CB2647">
        <w:t>Kötü over rezervi olan hastalarda endişe</w:t>
      </w:r>
      <w:r w:rsidR="00055D98" w:rsidRPr="00CB2647">
        <w:t>lerden biri</w:t>
      </w:r>
      <w:r w:rsidR="004A5FD0" w:rsidRPr="00CB2647">
        <w:t xml:space="preserve"> olan</w:t>
      </w:r>
      <w:r w:rsidR="00055D98" w:rsidRPr="00CB2647">
        <w:t xml:space="preserve"> pre</w:t>
      </w:r>
      <w:r w:rsidR="00E01C33" w:rsidRPr="00CB2647">
        <w:t>m</w:t>
      </w:r>
      <w:r w:rsidR="00055D98" w:rsidRPr="00CB2647">
        <w:t>a</w:t>
      </w:r>
      <w:r w:rsidR="00E01C33" w:rsidRPr="00CB2647">
        <w:t>tür l</w:t>
      </w:r>
      <w:r w:rsidR="00055D98" w:rsidRPr="00CB2647">
        <w:t>uteinizasyon/ovulasyon</w:t>
      </w:r>
      <w:r w:rsidR="00F819E4" w:rsidRPr="00CB2647">
        <w:t xml:space="preserve">u </w:t>
      </w:r>
      <w:r w:rsidR="00E01C33" w:rsidRPr="00CB2647">
        <w:t>engel</w:t>
      </w:r>
      <w:r w:rsidR="00055D98" w:rsidRPr="00CB2647">
        <w:t>l</w:t>
      </w:r>
      <w:r w:rsidR="00E01C33" w:rsidRPr="00CB2647">
        <w:t>emek amacıyla daha erken zamanda, follikül boyutu 15-16 mm olduğunda hCG uygulanması önerilmiştir. Böylece OPU ile yumu</w:t>
      </w:r>
      <w:r w:rsidR="00055D98" w:rsidRPr="00CB2647">
        <w:t>rta çatlatma zamanı kısalmıştır</w:t>
      </w:r>
      <w:r w:rsidR="00E01C33" w:rsidRPr="00CB2647">
        <w:t>(62,63)</w:t>
      </w:r>
      <w:r w:rsidR="00055D98" w:rsidRPr="00CB2647">
        <w:t>.</w:t>
      </w:r>
    </w:p>
    <w:p w:rsidR="00A02BA8" w:rsidRPr="00CB2647" w:rsidRDefault="00A02BA8" w:rsidP="00E02D8A"/>
    <w:p w:rsidR="00C4243B" w:rsidRPr="00CB2647" w:rsidRDefault="00105942" w:rsidP="00E02D8A">
      <w:pPr>
        <w:pStyle w:val="Balk3"/>
      </w:pPr>
      <w:bookmarkStart w:id="18" w:name="_Toc432062030"/>
      <w:r w:rsidRPr="00CB2647">
        <w:t>2.5.1.</w:t>
      </w:r>
      <w:r w:rsidR="00C4243B" w:rsidRPr="00CB2647">
        <w:t>Anestezik Yaklaşım</w:t>
      </w:r>
      <w:bookmarkEnd w:id="18"/>
    </w:p>
    <w:p w:rsidR="001F5204" w:rsidRPr="00CB2647" w:rsidRDefault="00E02D8A" w:rsidP="00E02D8A">
      <w:r w:rsidRPr="00CB2647">
        <w:tab/>
      </w:r>
      <w:r w:rsidR="00C4243B" w:rsidRPr="00CB2647">
        <w:t>OPU işlemind</w:t>
      </w:r>
      <w:r w:rsidR="00E46546" w:rsidRPr="00CB2647">
        <w:t>e kullanılan aneste</w:t>
      </w:r>
      <w:r w:rsidR="00C4243B" w:rsidRPr="00CB2647">
        <w:t>zi yöntemleri:</w:t>
      </w:r>
    </w:p>
    <w:p w:rsidR="00C4243B" w:rsidRPr="007A105C" w:rsidRDefault="00E02D8A" w:rsidP="00E02D8A">
      <w:r w:rsidRPr="007A105C">
        <w:tab/>
      </w:r>
      <w:r w:rsidR="00E46546" w:rsidRPr="007A105C">
        <w:rPr>
          <w:b/>
        </w:rPr>
        <w:t>i)Genel anestezi</w:t>
      </w:r>
      <w:r w:rsidR="00C4243B" w:rsidRPr="007A105C">
        <w:rPr>
          <w:b/>
        </w:rPr>
        <w:t>:</w:t>
      </w:r>
      <w:r w:rsidR="00167AF7" w:rsidRPr="007A105C">
        <w:t xml:space="preserve"> S</w:t>
      </w:r>
      <w:r w:rsidR="00C4243B" w:rsidRPr="007A105C">
        <w:t xml:space="preserve">erum prolaktin seviyelerinde geçici artışlara </w:t>
      </w:r>
      <w:r w:rsidR="00E46546" w:rsidRPr="007A105C">
        <w:t>ve corpus luteumdan progesteron üretimin baskılanmasına neden olabilmekte böylece İVF so</w:t>
      </w:r>
      <w:r w:rsidRPr="007A105C">
        <w:t>n</w:t>
      </w:r>
      <w:r w:rsidR="00E46546" w:rsidRPr="007A105C">
        <w:t xml:space="preserve">uçlarına olumsuz etke edebilmektedir.Nitröz oksit fertilite başarısını metiyonin sentetaz aktivitesini azaltarak </w:t>
      </w:r>
      <w:r w:rsidR="00BD2F14" w:rsidRPr="007A105C">
        <w:t>hayvan ve insan DNA sentezini olumsuz etkileyerek fertilite başarısını azaltacağından</w:t>
      </w:r>
      <w:r w:rsidR="00055D98" w:rsidRPr="007A105C">
        <w:t>,</w:t>
      </w:r>
      <w:r w:rsidR="00E46546" w:rsidRPr="007A105C">
        <w:t xml:space="preserve"> kullanımında</w:t>
      </w:r>
      <w:r w:rsidR="00357465" w:rsidRPr="007A105C">
        <w:t>n kaçınılmas</w:t>
      </w:r>
      <w:r w:rsidR="00D61EBB" w:rsidRPr="007A105C">
        <w:t>ı önerilmek</w:t>
      </w:r>
      <w:r w:rsidR="00055D98" w:rsidRPr="007A105C">
        <w:t>tedir</w:t>
      </w:r>
      <w:r w:rsidR="006A1AD8" w:rsidRPr="007A105C">
        <w:t>(64,65</w:t>
      </w:r>
      <w:r w:rsidR="00E46546" w:rsidRPr="007A105C">
        <w:t>)</w:t>
      </w:r>
      <w:r w:rsidR="00D61EBB" w:rsidRPr="007A105C">
        <w:t>.</w:t>
      </w:r>
    </w:p>
    <w:p w:rsidR="00E46546" w:rsidRPr="007A105C" w:rsidRDefault="00E02D8A" w:rsidP="00E02D8A">
      <w:r w:rsidRPr="007A105C">
        <w:tab/>
      </w:r>
      <w:r w:rsidR="00E46546" w:rsidRPr="007A105C">
        <w:rPr>
          <w:b/>
        </w:rPr>
        <w:t>ii)Rejyonel anestezi:</w:t>
      </w:r>
      <w:r w:rsidR="00167AF7" w:rsidRPr="007A105C">
        <w:t xml:space="preserve"> Lok</w:t>
      </w:r>
      <w:r w:rsidR="00E46546" w:rsidRPr="007A105C">
        <w:t xml:space="preserve">al anesteziklerin epidural aralığa enjeksiyonu ileepidural anestezi,subaraknoid aralığa enjeksiyonu ile </w:t>
      </w:r>
      <w:r w:rsidR="00C8180D" w:rsidRPr="007A105C">
        <w:t>spinal anestezi gerçekleştirilir.Epidural anestezi anestezik ajanın sistemik dolaşıma minimal geçmesi ve böylece folliküler sıvıda minimal birikmesi nedeniyle daha avantajlıdır.</w:t>
      </w:r>
      <w:r w:rsidR="00027881" w:rsidRPr="007A105C">
        <w:t>Eskiden yapılan fakat günümüzde uygulanmayan bu iş</w:t>
      </w:r>
      <w:r w:rsidR="006A1AD8" w:rsidRPr="007A105C">
        <w:t>l</w:t>
      </w:r>
      <w:r w:rsidR="00027881" w:rsidRPr="007A105C">
        <w:t>emin k</w:t>
      </w:r>
      <w:r w:rsidR="00C8180D" w:rsidRPr="007A105C">
        <w:t>omplikasyonları arasında spinal başağrısı,bel ağrısı ve idrar retansiyonu yer almaktadır.</w:t>
      </w:r>
    </w:p>
    <w:p w:rsidR="00C8180D" w:rsidRPr="007A105C" w:rsidRDefault="00E02D8A" w:rsidP="00E02D8A">
      <w:r w:rsidRPr="007A105C">
        <w:tab/>
      </w:r>
      <w:r w:rsidR="00C8180D" w:rsidRPr="007A105C">
        <w:rPr>
          <w:b/>
        </w:rPr>
        <w:t>iii)Lokal Anestezi(Paraservikal blok):</w:t>
      </w:r>
      <w:r w:rsidR="00167AF7" w:rsidRPr="007A105C">
        <w:t xml:space="preserve"> P</w:t>
      </w:r>
      <w:r w:rsidR="00C8180D" w:rsidRPr="007A105C">
        <w:t>araservikal blok vajen duvarın delinmesi esnasında ağrıyı giderebilir fakat over kaynaklı ağrılı uyaranların iletimini engelleyemez.Farelerde yapılan bir çalışma</w:t>
      </w:r>
      <w:r w:rsidR="006A1AD8" w:rsidRPr="007A105C">
        <w:t xml:space="preserve">da yüksek konsantrasyonda lokal </w:t>
      </w:r>
      <w:r w:rsidR="00C8180D" w:rsidRPr="007A105C">
        <w:t>anestezik verilmesi fertilizasyon ve embriyo gelişimi açısından o</w:t>
      </w:r>
      <w:r w:rsidR="00357465" w:rsidRPr="007A105C">
        <w:t>lumsuz etkiler bildirilmiştir</w:t>
      </w:r>
      <w:r w:rsidR="006A1AD8" w:rsidRPr="007A105C">
        <w:t>(66</w:t>
      </w:r>
      <w:r w:rsidR="00C8180D" w:rsidRPr="007A105C">
        <w:t>)</w:t>
      </w:r>
      <w:r w:rsidR="00357465" w:rsidRPr="007A105C">
        <w:t>.</w:t>
      </w:r>
    </w:p>
    <w:p w:rsidR="00941AEE" w:rsidRPr="007A105C" w:rsidRDefault="00E02D8A" w:rsidP="00E02D8A">
      <w:r w:rsidRPr="007A105C">
        <w:rPr>
          <w:b/>
        </w:rPr>
        <w:tab/>
      </w:r>
      <w:r w:rsidR="00941AEE" w:rsidRPr="007A105C">
        <w:rPr>
          <w:b/>
        </w:rPr>
        <w:t xml:space="preserve">iv)Bilinçli Sedasyon: </w:t>
      </w:r>
      <w:r w:rsidR="00941AEE" w:rsidRPr="007A105C">
        <w:t>Yardımla Üreme Teknolojileri Cemiyeti(SART)’ne kayıtlı 207 programda en yaygın kullanılan anestezi metodunun bilinçli s</w:t>
      </w:r>
      <w:r w:rsidR="00EB7A68" w:rsidRPr="007A105C">
        <w:t>edasyon olduğu bildirilmiştir</w:t>
      </w:r>
      <w:r w:rsidR="006A1AD8" w:rsidRPr="007A105C">
        <w:t>(67</w:t>
      </w:r>
      <w:r w:rsidR="00941AEE" w:rsidRPr="007A105C">
        <w:t>)</w:t>
      </w:r>
      <w:r w:rsidR="00EB7A68" w:rsidRPr="007A105C">
        <w:t>.</w:t>
      </w:r>
    </w:p>
    <w:p w:rsidR="00941AEE" w:rsidRPr="007A105C" w:rsidRDefault="00E02D8A" w:rsidP="00E02D8A">
      <w:r w:rsidRPr="007A105C">
        <w:lastRenderedPageBreak/>
        <w:tab/>
      </w:r>
      <w:r w:rsidR="00941AEE" w:rsidRPr="007A105C">
        <w:t>Bu amaçla en çok propofol,fentanil ve midazolam kombinasyonu kullanılmaktadır</w:t>
      </w:r>
      <w:r w:rsidR="00167AF7" w:rsidRPr="007A105C">
        <w:t xml:space="preserve">. Oosit toplama </w:t>
      </w:r>
      <w:r w:rsidR="00941AEE" w:rsidRPr="007A105C">
        <w:t xml:space="preserve">sırasındaki ağrıya </w:t>
      </w:r>
      <w:r w:rsidR="00947C6C" w:rsidRPr="007A105C">
        <w:t>cevap bilinçli sedasyon grubunda genel anestezi grubuyla kıyaslandığında daha fazla bulunmuştur fakat işlemden 30 dk sonra değerlendirilen abdominal ağrı sedasyon grubunda genel anestezi grubun</w:t>
      </w:r>
      <w:r w:rsidR="00EB7A68" w:rsidRPr="007A105C">
        <w:t>a göre daha düşük bulunmuştur</w:t>
      </w:r>
      <w:r w:rsidR="006A1AD8" w:rsidRPr="007A105C">
        <w:t>(68</w:t>
      </w:r>
      <w:r w:rsidR="00947C6C" w:rsidRPr="007A105C">
        <w:t>)</w:t>
      </w:r>
      <w:r w:rsidR="00EB7A68" w:rsidRPr="007A105C">
        <w:t>.</w:t>
      </w:r>
    </w:p>
    <w:p w:rsidR="00947C6C" w:rsidRPr="007A105C" w:rsidRDefault="00E02D8A" w:rsidP="00E02D8A">
      <w:r w:rsidRPr="007A105C">
        <w:tab/>
      </w:r>
      <w:r w:rsidR="003F6FC0" w:rsidRPr="007A105C">
        <w:rPr>
          <w:b/>
        </w:rPr>
        <w:t>v)Alternatif anestezi yöntemleri</w:t>
      </w:r>
      <w:r w:rsidR="00167AF7" w:rsidRPr="007A105C">
        <w:rPr>
          <w:b/>
        </w:rPr>
        <w:t>:</w:t>
      </w:r>
      <w:r w:rsidR="00167AF7" w:rsidRPr="007A105C">
        <w:t xml:space="preserve"> E</w:t>
      </w:r>
      <w:r w:rsidR="003F6FC0" w:rsidRPr="007A105C">
        <w:t>lektro-akupunktur endojen opioid sistemlerini aktive ederek ağrıyı gideren bir metottur.</w:t>
      </w:r>
    </w:p>
    <w:p w:rsidR="00EC72CF" w:rsidRPr="00CB2647" w:rsidRDefault="00EC72CF" w:rsidP="00E02D8A"/>
    <w:p w:rsidR="003F6FC0" w:rsidRPr="00CB2647" w:rsidRDefault="00105942" w:rsidP="00E02D8A">
      <w:pPr>
        <w:pStyle w:val="Balk3"/>
      </w:pPr>
      <w:bookmarkStart w:id="19" w:name="_Toc432062031"/>
      <w:r w:rsidRPr="00CB2647">
        <w:t>2.5</w:t>
      </w:r>
      <w:r w:rsidR="003F6FC0" w:rsidRPr="00CB2647">
        <w:t>.2 OPU İğneleri</w:t>
      </w:r>
      <w:bookmarkEnd w:id="19"/>
    </w:p>
    <w:p w:rsidR="00E46546" w:rsidRPr="00CB2647" w:rsidRDefault="00E02D8A" w:rsidP="00E02D8A">
      <w:r w:rsidRPr="00CB2647">
        <w:tab/>
      </w:r>
      <w:r w:rsidR="003F6FC0" w:rsidRPr="00CB2647">
        <w:t>OPU’da iki çeşit iğne kullanılmaktadır.Bunlar tek lümenli(sadece follikülü aspire edebilen)ve çift lümenli(hem follikül aspirasyonu yapabilen hem de follikülü flush mediumu ile yıkayabilen)iğnelerdir.Çift lümenli iğneler içerisinde aspirasyon yapan ve sıvı veren iki lümen içe</w:t>
      </w:r>
      <w:r w:rsidR="00016253" w:rsidRPr="00CB2647">
        <w:t>rirler.Böylece bir lümen aspiree</w:t>
      </w:r>
      <w:r w:rsidR="003F6FC0" w:rsidRPr="00CB2647">
        <w:t>derken diğer lümen follikülü yıkayabilmektedir.</w:t>
      </w:r>
    </w:p>
    <w:p w:rsidR="00E02D8A" w:rsidRPr="00CB2647" w:rsidRDefault="00E02D8A" w:rsidP="00E02D8A"/>
    <w:p w:rsidR="00E02D8A" w:rsidRPr="00CB2647" w:rsidRDefault="00E02D8A" w:rsidP="00E02D8A">
      <w:r w:rsidRPr="00CB2647">
        <w:tab/>
        <w:t xml:space="preserve">Resim </w:t>
      </w:r>
      <w:r w:rsidR="00903ED9">
        <w:t>2.</w:t>
      </w:r>
      <w:r w:rsidRPr="00CB2647">
        <w:t>1: Çift lümenli OPU İğnesi</w:t>
      </w:r>
    </w:p>
    <w:p w:rsidR="00016253" w:rsidRPr="00CB2647" w:rsidRDefault="00016253" w:rsidP="00E02D8A">
      <w:pPr>
        <w:jc w:val="center"/>
      </w:pPr>
      <w:r w:rsidRPr="00CB2647">
        <w:rPr>
          <w:noProof/>
        </w:rPr>
        <w:drawing>
          <wp:inline distT="0" distB="0" distL="0" distR="0">
            <wp:extent cx="3718560" cy="2788920"/>
            <wp:effectExtent l="19050" t="0" r="0" b="0"/>
            <wp:docPr id="3" name="Resim 1" descr="F:\DCIM\100_FUJI\DSCF00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DCIM\100_FUJI\DSCF0075.JPG"/>
                    <pic:cNvPicPr>
                      <a:picLocks noChangeAspect="1" noChangeArrowheads="1"/>
                    </pic:cNvPicPr>
                  </pic:nvPicPr>
                  <pic:blipFill>
                    <a:blip r:embed="rId14" cstate="print"/>
                    <a:srcRect/>
                    <a:stretch>
                      <a:fillRect/>
                    </a:stretch>
                  </pic:blipFill>
                  <pic:spPr bwMode="auto">
                    <a:xfrm>
                      <a:off x="0" y="0"/>
                      <a:ext cx="3721021" cy="2790766"/>
                    </a:xfrm>
                    <a:prstGeom prst="rect">
                      <a:avLst/>
                    </a:prstGeom>
                    <a:noFill/>
                    <a:ln w="9525">
                      <a:noFill/>
                      <a:miter lim="800000"/>
                      <a:headEnd/>
                      <a:tailEnd/>
                    </a:ln>
                  </pic:spPr>
                </pic:pic>
              </a:graphicData>
            </a:graphic>
          </wp:inline>
        </w:drawing>
      </w:r>
    </w:p>
    <w:p w:rsidR="00016253" w:rsidRPr="00CB2647" w:rsidRDefault="00016253" w:rsidP="00E02D8A"/>
    <w:p w:rsidR="00016253" w:rsidRPr="00CB2647" w:rsidRDefault="00E02D8A" w:rsidP="00E02D8A">
      <w:r w:rsidRPr="00CB2647">
        <w:tab/>
      </w:r>
      <w:r w:rsidR="00016253" w:rsidRPr="00CB2647">
        <w:t>Tek lümenli iğne ise sadece follikül aspirasyonu yapabilmektedir fakat aspirasyon gücü çift lümene göre daha fazladır.</w:t>
      </w:r>
    </w:p>
    <w:p w:rsidR="00E02D8A" w:rsidRPr="00CB2647" w:rsidRDefault="00E02D8A" w:rsidP="00E02D8A"/>
    <w:p w:rsidR="00E02D8A" w:rsidRPr="00CB2647" w:rsidRDefault="00E02D8A" w:rsidP="00E02D8A"/>
    <w:p w:rsidR="00E02D8A" w:rsidRPr="00CB2647" w:rsidRDefault="00E02D8A" w:rsidP="00E02D8A"/>
    <w:p w:rsidR="00E02D8A" w:rsidRPr="00CB2647" w:rsidRDefault="00E02D8A" w:rsidP="00E02D8A">
      <w:pPr>
        <w:pStyle w:val="KonuBal1"/>
        <w:shd w:val="clear" w:color="auto" w:fill="FFFFFF"/>
        <w:spacing w:line="360" w:lineRule="auto"/>
      </w:pPr>
      <w:r w:rsidRPr="00CB2647">
        <w:lastRenderedPageBreak/>
        <w:tab/>
        <w:t xml:space="preserve">Resim </w:t>
      </w:r>
      <w:r w:rsidR="00903ED9">
        <w:t>2.</w:t>
      </w:r>
      <w:r w:rsidRPr="00CB2647">
        <w:t>2: Tek Lümenli OPU İğnesi</w:t>
      </w:r>
    </w:p>
    <w:p w:rsidR="00E30EC8" w:rsidRPr="00CB2647" w:rsidRDefault="00016253" w:rsidP="00E02D8A">
      <w:pPr>
        <w:jc w:val="center"/>
      </w:pPr>
      <w:r w:rsidRPr="00CB2647">
        <w:rPr>
          <w:noProof/>
        </w:rPr>
        <w:drawing>
          <wp:inline distT="0" distB="0" distL="0" distR="0">
            <wp:extent cx="3714750" cy="2786063"/>
            <wp:effectExtent l="19050" t="0" r="0" b="0"/>
            <wp:docPr id="4" name="Resim 2" descr="F:\DCIM\100_FUJI\DSCF00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DCIM\100_FUJI\DSCF0077.JPG"/>
                    <pic:cNvPicPr>
                      <a:picLocks noChangeAspect="1" noChangeArrowheads="1"/>
                    </pic:cNvPicPr>
                  </pic:nvPicPr>
                  <pic:blipFill>
                    <a:blip r:embed="rId15" cstate="print"/>
                    <a:srcRect/>
                    <a:stretch>
                      <a:fillRect/>
                    </a:stretch>
                  </pic:blipFill>
                  <pic:spPr bwMode="auto">
                    <a:xfrm>
                      <a:off x="0" y="0"/>
                      <a:ext cx="3717209" cy="2787907"/>
                    </a:xfrm>
                    <a:prstGeom prst="rect">
                      <a:avLst/>
                    </a:prstGeom>
                    <a:noFill/>
                    <a:ln w="9525">
                      <a:noFill/>
                      <a:miter lim="800000"/>
                      <a:headEnd/>
                      <a:tailEnd/>
                    </a:ln>
                  </pic:spPr>
                </pic:pic>
              </a:graphicData>
            </a:graphic>
          </wp:inline>
        </w:drawing>
      </w:r>
    </w:p>
    <w:p w:rsidR="00FC0368" w:rsidRPr="00CB2647" w:rsidRDefault="00FC0368" w:rsidP="00E02D8A"/>
    <w:p w:rsidR="00244248" w:rsidRPr="00CB2647" w:rsidRDefault="00E02D8A" w:rsidP="00E02D8A">
      <w:r w:rsidRPr="00CB2647">
        <w:tab/>
      </w:r>
      <w:r w:rsidR="00FC0368" w:rsidRPr="00CB2647">
        <w:t>Özellikle kötü yanıt veren İVF sikluslarında yıkama yapılmazsa daha az oosit toplanacağ</w:t>
      </w:r>
      <w:r w:rsidRPr="00CB2647">
        <w:t>ı</w:t>
      </w:r>
      <w:r w:rsidR="00FC0368" w:rsidRPr="00CB2647">
        <w:t xml:space="preserve"> endişesi nedeniyle çift lümenli iğneler kul</w:t>
      </w:r>
      <w:r w:rsidR="00244248" w:rsidRPr="00CB2647">
        <w:t>lanılmaya devam edilmektedir.</w:t>
      </w:r>
      <w:r w:rsidR="00D03EFC">
        <w:t xml:space="preserve"> </w:t>
      </w:r>
      <w:r w:rsidR="00244248" w:rsidRPr="00CB2647">
        <w:t>El Husein ve arkadaşlarının yaptığı bir çalışmada aspirasyondan sonra bir</w:t>
      </w:r>
      <w:r w:rsidR="00167AF7" w:rsidRPr="00CB2647">
        <w:t xml:space="preserve"> kez follikülün yıkanmasının %4,</w:t>
      </w:r>
      <w:r w:rsidR="00244248" w:rsidRPr="00CB2647">
        <w:t>7 oranda daha fazla oosit</w:t>
      </w:r>
      <w:r w:rsidR="00EB7A68" w:rsidRPr="00CB2647">
        <w:t xml:space="preserve"> toplandığını bildirmişlerdir</w:t>
      </w:r>
      <w:r w:rsidR="006A1AD8" w:rsidRPr="00CB2647">
        <w:t>(69</w:t>
      </w:r>
      <w:r w:rsidR="00244248" w:rsidRPr="00CB2647">
        <w:t>)</w:t>
      </w:r>
      <w:r w:rsidR="00EB7A68" w:rsidRPr="00CB2647">
        <w:t>.</w:t>
      </w:r>
      <w:r w:rsidR="00244248" w:rsidRPr="00CB2647">
        <w:t>Diğer tarafta ise Levens ve arkadaşlarının 2009 yılında kötü over rezervli hastalarda prospekti</w:t>
      </w:r>
      <w:r w:rsidR="00167AF7" w:rsidRPr="00CB2647">
        <w:t xml:space="preserve">f randomize kontrollü çalışmada, </w:t>
      </w:r>
      <w:r w:rsidR="00244248" w:rsidRPr="00CB2647">
        <w:t>follikül yıkamasının daha fazla oosit elde edilmesin</w:t>
      </w:r>
      <w:r w:rsidR="009F60DD" w:rsidRPr="00CB2647">
        <w:t>e neden olmadığı gösterilmiştir(4).</w:t>
      </w:r>
    </w:p>
    <w:p w:rsidR="00244248" w:rsidRPr="00CB2647" w:rsidRDefault="00E02D8A" w:rsidP="00E02D8A">
      <w:r w:rsidRPr="00CB2647">
        <w:tab/>
      </w:r>
      <w:r w:rsidR="00244248" w:rsidRPr="00CB2647">
        <w:t>Literatürde birçok çalışma follikül yıkama işleminin daha fazla oosit toplanmasına yol açmadığını göstermektedir.</w:t>
      </w:r>
      <w:r w:rsidR="00D03EFC">
        <w:t xml:space="preserve"> </w:t>
      </w:r>
      <w:r w:rsidR="00244248" w:rsidRPr="00CB2647">
        <w:t xml:space="preserve">Wongtra-Ngan ve arkadaşlarının çalışmasında </w:t>
      </w:r>
      <w:r w:rsidR="00471BAB" w:rsidRPr="00CB2647">
        <w:t>çift lümenli iğ</w:t>
      </w:r>
      <w:r w:rsidR="00AA7023" w:rsidRPr="00CB2647">
        <w:t>ne kullanımın sadece OPU süresini uzattığı daha fazla oosit elde edilmesine neden ol</w:t>
      </w:r>
      <w:r w:rsidR="006A1AD8" w:rsidRPr="00CB2647">
        <w:t>madığı gösterilmiştir(70</w:t>
      </w:r>
      <w:r w:rsidR="00AA7023" w:rsidRPr="00CB2647">
        <w:t>)</w:t>
      </w:r>
      <w:r w:rsidR="00EB7A68" w:rsidRPr="00CB2647">
        <w:t>.</w:t>
      </w:r>
      <w:r w:rsidR="00AA7023" w:rsidRPr="00CB2647">
        <w:t>Haydardedeoğlu ve arkadaşlarının normal yanıt veren hastalarda yaptığı çalışmadafollikül yıkamasının aspirasyona gö</w:t>
      </w:r>
      <w:r w:rsidR="00471BAB" w:rsidRPr="00CB2647">
        <w:t xml:space="preserve">re farklı olmadığı sadece işlem </w:t>
      </w:r>
      <w:r w:rsidR="00AA7023" w:rsidRPr="00CB2647">
        <w:t>zamanının</w:t>
      </w:r>
      <w:r w:rsidR="00471BAB" w:rsidRPr="00CB2647">
        <w:t>uzadığı</w:t>
      </w:r>
      <w:r w:rsidR="00AA7023" w:rsidRPr="00CB2647">
        <w:t>,gebelik sonuçları ve canlı doğum oranlarında ise fark olmadığı g</w:t>
      </w:r>
      <w:r w:rsidR="006A1AD8" w:rsidRPr="00CB2647">
        <w:t>özlenmiştir(71</w:t>
      </w:r>
      <w:r w:rsidR="00EB7A68" w:rsidRPr="00CB2647">
        <w:t>).</w:t>
      </w:r>
    </w:p>
    <w:p w:rsidR="00E02D8A" w:rsidRPr="00CB2647" w:rsidRDefault="00E02D8A" w:rsidP="00E02D8A"/>
    <w:p w:rsidR="00AA7023" w:rsidRPr="00CB2647" w:rsidRDefault="00105942" w:rsidP="00E02D8A">
      <w:pPr>
        <w:pStyle w:val="Balk3"/>
      </w:pPr>
      <w:bookmarkStart w:id="20" w:name="_Toc432062032"/>
      <w:r w:rsidRPr="00CB2647">
        <w:t>2.5</w:t>
      </w:r>
      <w:r w:rsidR="00AA7023" w:rsidRPr="00CB2647">
        <w:t xml:space="preserve">.3 </w:t>
      </w:r>
      <w:r w:rsidR="005406C7" w:rsidRPr="00CB2647">
        <w:t>OPU İşlemi</w:t>
      </w:r>
      <w:bookmarkEnd w:id="20"/>
    </w:p>
    <w:p w:rsidR="00FC0368" w:rsidRPr="00CB2647" w:rsidRDefault="00E02D8A" w:rsidP="00E02D8A">
      <w:r w:rsidRPr="00CB2647">
        <w:tab/>
      </w:r>
      <w:r w:rsidR="005406C7" w:rsidRPr="00CB2647">
        <w:t>OPU işlemine başlarken ilk önce hastanın sedasyonu uygulanmaktadır.</w:t>
      </w:r>
      <w:r w:rsidR="00D03EFC">
        <w:t xml:space="preserve"> </w:t>
      </w:r>
      <w:r w:rsidR="002F54D2" w:rsidRPr="00CB2647">
        <w:t>Hastaya anestezik madde uygulanacağı için aspirasyon riskini azaltmak için aç gelmesi istenmektedir.İşlem öncesi transvajinal oosit toplama işlemi sırasında over</w:t>
      </w:r>
      <w:r w:rsidR="00167AF7" w:rsidRPr="00CB2647">
        <w:t>lere</w:t>
      </w:r>
      <w:r w:rsidR="002F54D2" w:rsidRPr="00CB2647">
        <w:t xml:space="preserve"> daha kolay ulaşmak adına ve olası mesane yaralanmasından kaçınmak için mesane </w:t>
      </w:r>
      <w:r w:rsidR="002F54D2" w:rsidRPr="00CB2647">
        <w:lastRenderedPageBreak/>
        <w:t>boşaltılmalıdır.Sedasyon yapıldıktan sonra hast</w:t>
      </w:r>
      <w:r w:rsidR="001355DD" w:rsidRPr="00CB2647">
        <w:t xml:space="preserve">a litotomi pozisyonuna alınarak </w:t>
      </w:r>
      <w:r w:rsidR="002F54D2" w:rsidRPr="00CB2647">
        <w:t>steril olara</w:t>
      </w:r>
      <w:r w:rsidR="00167AF7" w:rsidRPr="00CB2647">
        <w:t>k</w:t>
      </w:r>
      <w:r w:rsidR="002F54D2" w:rsidRPr="00CB2647">
        <w:t xml:space="preserve"> örtülür. Antiseptikler(povidone-iodine)oositler üzerinde toksik etki yapmaktadır.</w:t>
      </w:r>
      <w:r w:rsidR="00D03EFC">
        <w:t xml:space="preserve"> </w:t>
      </w:r>
      <w:r w:rsidR="002F54D2" w:rsidRPr="00CB2647">
        <w:t>Bununla ilgili düşük gebelik oranla</w:t>
      </w:r>
      <w:r w:rsidR="00963D97" w:rsidRPr="00CB2647">
        <w:t>rını bildiren yayınlar vardır</w:t>
      </w:r>
      <w:r w:rsidR="006A1AD8" w:rsidRPr="00CB2647">
        <w:t>(72</w:t>
      </w:r>
      <w:r w:rsidR="002F54D2" w:rsidRPr="00CB2647">
        <w:t>)</w:t>
      </w:r>
      <w:r w:rsidR="00963D97" w:rsidRPr="00CB2647">
        <w:t>.</w:t>
      </w:r>
      <w:r w:rsidR="000B335A" w:rsidRPr="00CB2647">
        <w:t>Bu yüzden v</w:t>
      </w:r>
      <w:r w:rsidR="002F54D2" w:rsidRPr="00CB2647">
        <w:t>ajen temizliği</w:t>
      </w:r>
      <w:r w:rsidR="000B335A" w:rsidRPr="00CB2647">
        <w:t>ndeserum fizyolojik tercih edilmektedir.</w:t>
      </w:r>
    </w:p>
    <w:p w:rsidR="000B335A" w:rsidRPr="00CB2647" w:rsidRDefault="00E02D8A" w:rsidP="00E02D8A">
      <w:r w:rsidRPr="00CB2647">
        <w:tab/>
      </w:r>
      <w:r w:rsidR="000B335A" w:rsidRPr="00CB2647">
        <w:t>OPU’ya başlamadan önce ul</w:t>
      </w:r>
      <w:r w:rsidR="00F214E0" w:rsidRPr="00CB2647">
        <w:t>trason</w:t>
      </w:r>
      <w:r w:rsidR="00C53E6F" w:rsidRPr="00CB2647">
        <w:t>ografi</w:t>
      </w:r>
      <w:r w:rsidR="00F214E0" w:rsidRPr="00CB2647">
        <w:t xml:space="preserve"> probunun üzerine jel konularak steril plastik</w:t>
      </w:r>
      <w:r w:rsidR="000B335A" w:rsidRPr="00CB2647">
        <w:t xml:space="preserve"> kılıf geçirilir.</w:t>
      </w:r>
      <w:r w:rsidR="00D03EFC">
        <w:t xml:space="preserve"> </w:t>
      </w:r>
      <w:r w:rsidR="000B335A" w:rsidRPr="00CB2647">
        <w:t>Kılıf üzerine iğnenin geçirildiği ve aspirasyon sırasında rehberlik edecek olan biyopsi atacı takılır.</w:t>
      </w:r>
      <w:r w:rsidR="00F214E0" w:rsidRPr="00CB2647">
        <w:t>OPU işlemi için dizayn edilmiş 16 veya 17 gauge iğneler kullanılır.İşlem için en ideal aspirasyon basıncı 100-150 mmHg’dır.Bunun nedeni hızlıca follikülerin aspire edilmesine ve böylece folikül duvarları hızlıca çökerek iğne lümeni</w:t>
      </w:r>
      <w:r w:rsidR="00DF52CD" w:rsidRPr="00CB2647">
        <w:t xml:space="preserve">nin tıkanmamasına dayanmaktadır </w:t>
      </w:r>
      <w:r w:rsidR="00CA7D46" w:rsidRPr="00CB2647">
        <w:t>(3)</w:t>
      </w:r>
      <w:r w:rsidR="00DF52CD" w:rsidRPr="00CB2647">
        <w:t>.</w:t>
      </w:r>
    </w:p>
    <w:p w:rsidR="00E02D8A" w:rsidRPr="00CB2647" w:rsidRDefault="00E02D8A" w:rsidP="00E02D8A"/>
    <w:p w:rsidR="00E02D8A" w:rsidRPr="00CB2647" w:rsidRDefault="00E02D8A" w:rsidP="00E02D8A">
      <w:r w:rsidRPr="00CB2647">
        <w:tab/>
        <w:t xml:space="preserve">Resim </w:t>
      </w:r>
      <w:r w:rsidR="00903ED9">
        <w:t>2.</w:t>
      </w:r>
      <w:r w:rsidRPr="00CB2647">
        <w:t>3: OPU için hazırlanmış ultrason probu</w:t>
      </w:r>
    </w:p>
    <w:p w:rsidR="00E02D8A" w:rsidRPr="00CB2647" w:rsidRDefault="00E02D8A" w:rsidP="00E02D8A">
      <w:r w:rsidRPr="00CB2647">
        <w:rPr>
          <w:noProof/>
        </w:rPr>
        <w:drawing>
          <wp:anchor distT="0" distB="0" distL="114300" distR="114300" simplePos="0" relativeHeight="251679744" behindDoc="0" locked="0" layoutInCell="1" allowOverlap="1">
            <wp:simplePos x="0" y="0"/>
            <wp:positionH relativeFrom="column">
              <wp:posOffset>2779262</wp:posOffset>
            </wp:positionH>
            <wp:positionV relativeFrom="paragraph">
              <wp:posOffset>39219</wp:posOffset>
            </wp:positionV>
            <wp:extent cx="2651648" cy="2545308"/>
            <wp:effectExtent l="0" t="0" r="0" b="7620"/>
            <wp:wrapNone/>
            <wp:docPr id="5" name="Resim 4" descr="F:\DCIM\100_FUJI\DSCF00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DCIM\100_FUJI\DSCF0095.JPG"/>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53462" cy="2547050"/>
                    </a:xfrm>
                    <a:prstGeom prst="rect">
                      <a:avLst/>
                    </a:prstGeom>
                    <a:noFill/>
                    <a:ln w="9525">
                      <a:noFill/>
                      <a:miter lim="800000"/>
                      <a:headEnd/>
                      <a:tailEnd/>
                    </a:ln>
                  </pic:spPr>
                </pic:pic>
              </a:graphicData>
            </a:graphic>
          </wp:anchor>
        </w:drawing>
      </w:r>
      <w:r w:rsidRPr="00CB2647">
        <w:rPr>
          <w:noProof/>
        </w:rPr>
        <w:drawing>
          <wp:anchor distT="0" distB="0" distL="114300" distR="114300" simplePos="0" relativeHeight="251678720" behindDoc="1" locked="0" layoutInCell="1" allowOverlap="1">
            <wp:simplePos x="0" y="0"/>
            <wp:positionH relativeFrom="column">
              <wp:posOffset>8767</wp:posOffset>
            </wp:positionH>
            <wp:positionV relativeFrom="paragraph">
              <wp:posOffset>39218</wp:posOffset>
            </wp:positionV>
            <wp:extent cx="2681785" cy="2546481"/>
            <wp:effectExtent l="0" t="0" r="4445" b="6350"/>
            <wp:wrapNone/>
            <wp:docPr id="1" name="Resim 3" descr="F:\DCIM\100_FUJI\DSCF00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DCIM\100_FUJI\DSCF0091.JPG"/>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87139" cy="2551565"/>
                    </a:xfrm>
                    <a:prstGeom prst="rect">
                      <a:avLst/>
                    </a:prstGeom>
                    <a:noFill/>
                    <a:ln w="9525">
                      <a:noFill/>
                      <a:miter lim="800000"/>
                      <a:headEnd/>
                      <a:tailEnd/>
                    </a:ln>
                  </pic:spPr>
                </pic:pic>
              </a:graphicData>
            </a:graphic>
          </wp:anchor>
        </w:drawing>
      </w:r>
    </w:p>
    <w:p w:rsidR="00E02D8A" w:rsidRPr="00CB2647" w:rsidRDefault="00E02D8A" w:rsidP="00E02D8A"/>
    <w:p w:rsidR="00E02D8A" w:rsidRPr="00CB2647" w:rsidRDefault="00E02D8A" w:rsidP="00E02D8A"/>
    <w:p w:rsidR="00E02D8A" w:rsidRPr="00CB2647" w:rsidRDefault="00E02D8A" w:rsidP="00E02D8A"/>
    <w:p w:rsidR="00E02D8A" w:rsidRPr="00CB2647" w:rsidRDefault="00E02D8A" w:rsidP="00E02D8A"/>
    <w:p w:rsidR="00E02D8A" w:rsidRPr="00CB2647" w:rsidRDefault="00E02D8A" w:rsidP="00E02D8A"/>
    <w:p w:rsidR="00E02D8A" w:rsidRPr="00CB2647" w:rsidRDefault="00E02D8A" w:rsidP="00E02D8A"/>
    <w:p w:rsidR="00E02D8A" w:rsidRPr="00CB2647" w:rsidRDefault="00E02D8A" w:rsidP="00E02D8A"/>
    <w:p w:rsidR="00E02D8A" w:rsidRPr="00CB2647" w:rsidRDefault="00E02D8A" w:rsidP="00E02D8A"/>
    <w:p w:rsidR="00E02D8A" w:rsidRPr="00CB2647" w:rsidRDefault="00E02D8A" w:rsidP="00E02D8A"/>
    <w:p w:rsidR="00E02D8A" w:rsidRPr="00CB2647" w:rsidRDefault="00E02D8A" w:rsidP="00E02D8A"/>
    <w:p w:rsidR="00F214E0" w:rsidRPr="00CB2647" w:rsidRDefault="00E02D8A" w:rsidP="00E02D8A">
      <w:r w:rsidRPr="00CB2647">
        <w:tab/>
      </w:r>
      <w:r w:rsidR="00F214E0" w:rsidRPr="00CB2647">
        <w:t>Ultrason probu iğne kılavuzu üstte dikey olacak şekilde tutulmaktadır.İğne foliküle tam ortasında girerek tüm folikül içeriği aspire edilmektedir.</w:t>
      </w:r>
      <w:r w:rsidR="00733F81" w:rsidRPr="00CB2647">
        <w:t>Aspire edilen materyal dış ortamdan etkilenmemesi için hemen embriyoloğa teslim edilmelidir.Embriyolog tarafından mikroskopla değerl</w:t>
      </w:r>
      <w:r w:rsidR="00152139" w:rsidRPr="00CB2647">
        <w:t>e</w:t>
      </w:r>
      <w:r w:rsidR="00733F81" w:rsidRPr="00CB2647">
        <w:t>ndirilerek oosit saysısı iletilir.İşlem esnasında varolan endometriomanın perforasyonu ve aspirasyonu sonrası gelişebilecek olası tuboovaryan abse nedeniyle aspire edilmemesi önerilmektedir.</w:t>
      </w:r>
      <w:r w:rsidR="00B16DB8" w:rsidRPr="00CB2647">
        <w:t>Aspire edilmesi halinde yeni bir folikül aspire edilmeden önce heparinli medium ile iğne iyice yıkanmalıdır.</w:t>
      </w:r>
    </w:p>
    <w:p w:rsidR="00C91480" w:rsidRPr="00CB2647" w:rsidRDefault="00E02D8A" w:rsidP="00E02D8A">
      <w:r w:rsidRPr="00CB2647">
        <w:tab/>
      </w:r>
      <w:r w:rsidR="00C91480" w:rsidRPr="00CB2647">
        <w:t>Her iki overdeki 10mm’nin üzerindeki bütün folliküller aspire edilmelidir.Bir taraftaki folliküller aspire edildikten sonra iğne çekile</w:t>
      </w:r>
      <w:r w:rsidR="009F2E4F" w:rsidRPr="00CB2647">
        <w:t xml:space="preserve">rek yıkanmalı, </w:t>
      </w:r>
      <w:r w:rsidR="00CA7D46" w:rsidRPr="00CB2647">
        <w:t xml:space="preserve">diğer tarafa yıkandıktan sonra </w:t>
      </w:r>
      <w:r w:rsidR="009F2E4F" w:rsidRPr="00CB2647">
        <w:t>girilmelidir</w:t>
      </w:r>
      <w:r w:rsidR="00CA7D46" w:rsidRPr="00CB2647">
        <w:t>(3)</w:t>
      </w:r>
      <w:r w:rsidR="009F2E4F" w:rsidRPr="00CB2647">
        <w:t>.</w:t>
      </w:r>
      <w:r w:rsidR="00EB0641" w:rsidRPr="00CB2647">
        <w:t xml:space="preserve">İşlem </w:t>
      </w:r>
      <w:r w:rsidR="00B16DB8" w:rsidRPr="00CB2647">
        <w:t>yaklaşık olarak 5-10 dakika kadar sürmektedir</w:t>
      </w:r>
      <w:r w:rsidR="009F2E4F" w:rsidRPr="00CB2647">
        <w:t>.</w:t>
      </w:r>
    </w:p>
    <w:p w:rsidR="00EB0641" w:rsidRPr="00CB2647" w:rsidRDefault="00E02D8A" w:rsidP="00E02D8A">
      <w:r w:rsidRPr="00CB2647">
        <w:lastRenderedPageBreak/>
        <w:tab/>
      </w:r>
      <w:r w:rsidR="00B16DB8" w:rsidRPr="00CB2647">
        <w:t xml:space="preserve">Aspirasyon </w:t>
      </w:r>
      <w:r w:rsidR="00EB0641" w:rsidRPr="00CB2647">
        <w:t>bittikten sonra vajene spekulum takılarak</w:t>
      </w:r>
      <w:r w:rsidR="00B16DB8" w:rsidRPr="00CB2647">
        <w:t xml:space="preserve"> kanama kontrolü yapıldıktan sonra OPU işlemi son bulmaktadır</w:t>
      </w:r>
      <w:r w:rsidR="006A1AD8" w:rsidRPr="00CB2647">
        <w:t>(73</w:t>
      </w:r>
      <w:r w:rsidR="00CA7D46" w:rsidRPr="00CB2647">
        <w:t>)</w:t>
      </w:r>
      <w:r w:rsidR="00963D97" w:rsidRPr="00CB2647">
        <w:t>.</w:t>
      </w:r>
    </w:p>
    <w:p w:rsidR="00A80146" w:rsidRPr="00CB2647" w:rsidRDefault="00A80146" w:rsidP="00E02D8A"/>
    <w:p w:rsidR="00A80146" w:rsidRPr="00CB2647" w:rsidRDefault="00105942" w:rsidP="00E02D8A">
      <w:pPr>
        <w:pStyle w:val="Balk3"/>
      </w:pPr>
      <w:bookmarkStart w:id="21" w:name="_Toc432062033"/>
      <w:r w:rsidRPr="00CB2647">
        <w:t>2.5</w:t>
      </w:r>
      <w:r w:rsidR="00A80146" w:rsidRPr="00CB2647">
        <w:t>.4</w:t>
      </w:r>
      <w:r w:rsidR="00E02D8A" w:rsidRPr="00CB2647">
        <w:t>.</w:t>
      </w:r>
      <w:r w:rsidR="00A80146" w:rsidRPr="00CB2647">
        <w:t xml:space="preserve"> OPU Komplikasyonları</w:t>
      </w:r>
      <w:bookmarkEnd w:id="21"/>
    </w:p>
    <w:p w:rsidR="001E44FB" w:rsidRPr="00CB2647" w:rsidRDefault="00E02D8A" w:rsidP="00E02D8A">
      <w:r w:rsidRPr="00CB2647">
        <w:tab/>
      </w:r>
      <w:r w:rsidR="001E44FB" w:rsidRPr="00CB2647">
        <w:t>OPU işlemine bağlı komplikasyonlar arasında yer alanlar:</w:t>
      </w:r>
    </w:p>
    <w:p w:rsidR="001E44FB" w:rsidRPr="00CB2647" w:rsidRDefault="00E02D8A" w:rsidP="00E02D8A">
      <w:r w:rsidRPr="00CB2647">
        <w:tab/>
      </w:r>
      <w:r w:rsidR="001E44FB" w:rsidRPr="00CB2647">
        <w:t>i)Kanama</w:t>
      </w:r>
    </w:p>
    <w:p w:rsidR="001E44FB" w:rsidRPr="00CB2647" w:rsidRDefault="00E02D8A" w:rsidP="00E02D8A">
      <w:r w:rsidRPr="00CB2647">
        <w:tab/>
      </w:r>
      <w:r w:rsidR="001E44FB" w:rsidRPr="00CB2647">
        <w:t>ii)Pelvik infeksiyon</w:t>
      </w:r>
    </w:p>
    <w:p w:rsidR="001E44FB" w:rsidRPr="00CB2647" w:rsidRDefault="005B511B" w:rsidP="00E02D8A">
      <w:r w:rsidRPr="00CB2647">
        <w:tab/>
      </w:r>
      <w:r w:rsidR="001E44FB" w:rsidRPr="00CB2647">
        <w:t>iii)Adneksiyal kistik yapıların rüptürü/torsiyonu</w:t>
      </w:r>
    </w:p>
    <w:p w:rsidR="001E44FB" w:rsidRPr="00CB2647" w:rsidRDefault="005B511B" w:rsidP="00E02D8A">
      <w:r w:rsidRPr="00CB2647">
        <w:tab/>
      </w:r>
      <w:r w:rsidR="001E44FB" w:rsidRPr="00CB2647">
        <w:t>iv)Pelvik organların hasarlanması</w:t>
      </w:r>
    </w:p>
    <w:p w:rsidR="001E44FB" w:rsidRPr="00CB2647" w:rsidRDefault="005B511B" w:rsidP="00E02D8A">
      <w:r w:rsidRPr="00CB2647">
        <w:tab/>
      </w:r>
      <w:r w:rsidR="001E44FB" w:rsidRPr="00CB2647">
        <w:t>v)Diğer komplikasyolar(vertebral osteomyelit,</w:t>
      </w:r>
      <w:r w:rsidR="00D03EFC">
        <w:t xml:space="preserve"> </w:t>
      </w:r>
      <w:r w:rsidR="001E44FB" w:rsidRPr="00CB2647">
        <w:t>damarsal yapılarda psödoanevrizma,vajinal perforasyon vb.)</w:t>
      </w:r>
    </w:p>
    <w:p w:rsidR="001E44FB" w:rsidRPr="00CB2647" w:rsidRDefault="005B511B" w:rsidP="005B511B">
      <w:r w:rsidRPr="00CB2647">
        <w:tab/>
      </w:r>
      <w:r w:rsidR="001E44FB" w:rsidRPr="00CB2647">
        <w:t>Ultrasonografi eşliğinde oosit toplama işl</w:t>
      </w:r>
      <w:r w:rsidRPr="00CB2647">
        <w:t>e</w:t>
      </w:r>
      <w:r w:rsidR="001E44FB" w:rsidRPr="00CB2647">
        <w:t xml:space="preserve">mi </w:t>
      </w:r>
      <w:r w:rsidR="009F2E4F" w:rsidRPr="00CB2647">
        <w:t xml:space="preserve">esnasında iğne ile birkaç defa </w:t>
      </w:r>
      <w:r w:rsidR="001E44FB" w:rsidRPr="00CB2647">
        <w:t>giriş çıkış olması ya da aspirasyon iğnesinin yerleştirilmesi esnasında vajinal mukoza yırtılmalara veya damar hasarlanmalarına bağlı kan</w:t>
      </w:r>
      <w:r w:rsidR="00471BAB" w:rsidRPr="00CB2647">
        <w:t>ama olabilmektedir.</w:t>
      </w:r>
      <w:r w:rsidR="00FA3823" w:rsidRPr="00CB2647">
        <w:t>Sıklı</w:t>
      </w:r>
      <w:r w:rsidR="009F2E4F" w:rsidRPr="00CB2647">
        <w:t xml:space="preserve">kla bu kanamalar spontan olarak </w:t>
      </w:r>
      <w:r w:rsidR="00FA3823" w:rsidRPr="00CB2647">
        <w:t>durmaktadır.Overden akut kanama,</w:t>
      </w:r>
      <w:r w:rsidR="001355DD" w:rsidRPr="00CB2647">
        <w:t xml:space="preserve">uterin, </w:t>
      </w:r>
      <w:r w:rsidR="00FA3823" w:rsidRPr="00CB2647">
        <w:t>ovaryan,iliak damar hasarına bağlı kanama veya hematom çok nadir görülmesine rağmen cer</w:t>
      </w:r>
      <w:r w:rsidR="001355DD" w:rsidRPr="00CB2647">
        <w:t>rahi bir girişim gerektirebilir</w:t>
      </w:r>
      <w:r w:rsidR="00FA3823" w:rsidRPr="00CB2647">
        <w:t>(3)</w:t>
      </w:r>
      <w:r w:rsidR="001355DD" w:rsidRPr="00CB2647">
        <w:t>. İ</w:t>
      </w:r>
      <w:r w:rsidR="00FA3823" w:rsidRPr="00CB2647">
        <w:t xml:space="preserve">şlem sonrası veya işlem esnasında hemen fark edilebildiği </w:t>
      </w:r>
      <w:r w:rsidR="00967C6B" w:rsidRPr="00CB2647">
        <w:t>gibi,işle</w:t>
      </w:r>
      <w:r w:rsidR="00FA3823" w:rsidRPr="00CB2647">
        <w:t>mden çok daha sonra periumbilikal bölgede hematom şeklinde</w:t>
      </w:r>
      <w:r w:rsidRPr="00CB2647">
        <w:t xml:space="preserve"> “</w:t>
      </w:r>
      <w:r w:rsidR="00FA3823" w:rsidRPr="00CB2647">
        <w:t>Cullen İşareti</w:t>
      </w:r>
      <w:r w:rsidRPr="00CB2647">
        <w:t xml:space="preserve">” </w:t>
      </w:r>
      <w:r w:rsidR="00FA3823" w:rsidRPr="00CB2647">
        <w:t xml:space="preserve">olarakda </w:t>
      </w:r>
      <w:r w:rsidR="00052FC1" w:rsidRPr="00CB2647">
        <w:t>fark edilebilir</w:t>
      </w:r>
      <w:r w:rsidR="006A1AD8" w:rsidRPr="00CB2647">
        <w:t>(74</w:t>
      </w:r>
      <w:r w:rsidR="00ED1CF9" w:rsidRPr="00CB2647">
        <w:t>).</w:t>
      </w:r>
    </w:p>
    <w:p w:rsidR="00052FC1" w:rsidRPr="00CB2647" w:rsidRDefault="005B511B" w:rsidP="005B511B">
      <w:r w:rsidRPr="00CB2647">
        <w:tab/>
      </w:r>
      <w:r w:rsidR="001355DD" w:rsidRPr="00CB2647">
        <w:t xml:space="preserve">Pelvik </w:t>
      </w:r>
      <w:r w:rsidR="009F2E4F" w:rsidRPr="00CB2647">
        <w:t xml:space="preserve">enfeksiyon, </w:t>
      </w:r>
      <w:r w:rsidR="00052FC1" w:rsidRPr="00CB2647">
        <w:t>mikroorganizmaların direkt iğne yoluyla inokülasyonu,</w:t>
      </w:r>
      <w:r w:rsidR="009F2E4F" w:rsidRPr="00CB2647">
        <w:t xml:space="preserve">latent enfeksiyonun </w:t>
      </w:r>
      <w:r w:rsidR="00052FC1" w:rsidRPr="00CB2647">
        <w:t>r</w:t>
      </w:r>
      <w:r w:rsidR="00471BAB" w:rsidRPr="00CB2647">
        <w:t>e</w:t>
      </w:r>
      <w:r w:rsidR="009F2E4F" w:rsidRPr="00CB2647">
        <w:t xml:space="preserve">aktivasyonu </w:t>
      </w:r>
      <w:r w:rsidR="00052FC1" w:rsidRPr="00CB2647">
        <w:t xml:space="preserve">veya direkt barsak yaralanması sonrası meydana gelebilmektedir.Pelvik </w:t>
      </w:r>
      <w:r w:rsidR="00CC7B9B" w:rsidRPr="00CB2647">
        <w:t xml:space="preserve">infeksiyona ait bulgular </w:t>
      </w:r>
      <w:r w:rsidR="009553B8" w:rsidRPr="00CB2647">
        <w:t>1-7 gün içinde</w:t>
      </w:r>
      <w:r w:rsidR="00E21987" w:rsidRPr="00CB2647">
        <w:t xml:space="preserve"> görülmektedir</w:t>
      </w:r>
      <w:r w:rsidR="006A1AD8" w:rsidRPr="00CB2647">
        <w:t>(5</w:t>
      </w:r>
      <w:r w:rsidR="00052FC1" w:rsidRPr="00CB2647">
        <w:t>)</w:t>
      </w:r>
      <w:r w:rsidR="00963D97" w:rsidRPr="00CB2647">
        <w:t>.</w:t>
      </w:r>
      <w:r w:rsidR="00052FC1" w:rsidRPr="00CB2647">
        <w:t>Ateş,kötü kokulu vajinal akıntı,yaygın alt abdominal ağrı,serviks hareketlerinde hassasiyet</w:t>
      </w:r>
      <w:r w:rsidR="00FE2FFB" w:rsidRPr="00CB2647">
        <w:t>,D</w:t>
      </w:r>
      <w:r w:rsidR="00052FC1" w:rsidRPr="00CB2647">
        <w:t>ouglas</w:t>
      </w:r>
      <w:r w:rsidR="00FE2FFB" w:rsidRPr="00CB2647">
        <w:t>’</w:t>
      </w:r>
      <w:r w:rsidR="00052FC1" w:rsidRPr="00CB2647">
        <w:t xml:space="preserve">ta </w:t>
      </w:r>
      <w:r w:rsidR="00FE2FFB" w:rsidRPr="00CB2647">
        <w:t xml:space="preserve">ya da adnekstekitle palpasyonu </w:t>
      </w:r>
      <w:r w:rsidR="00052FC1" w:rsidRPr="00CB2647">
        <w:t>bu</w:t>
      </w:r>
      <w:r w:rsidR="001355DD" w:rsidRPr="00CB2647">
        <w:t xml:space="preserve">lgular arasında </w:t>
      </w:r>
      <w:r w:rsidR="00FE2FFB" w:rsidRPr="00CB2647">
        <w:t>sayılmaktadır.Tuboovaryan ap</w:t>
      </w:r>
      <w:r w:rsidR="00E21987" w:rsidRPr="00CB2647">
        <w:t>se sıklığı %0,24 civarındadır</w:t>
      </w:r>
      <w:r w:rsidR="006A1AD8" w:rsidRPr="00CB2647">
        <w:t>(75</w:t>
      </w:r>
      <w:r w:rsidR="00FE2FFB" w:rsidRPr="00CB2647">
        <w:t>).</w:t>
      </w:r>
    </w:p>
    <w:p w:rsidR="00FE2FFB" w:rsidRPr="00CB2647" w:rsidRDefault="005B511B" w:rsidP="005B511B">
      <w:r w:rsidRPr="00CB2647">
        <w:tab/>
      </w:r>
      <w:r w:rsidR="00FE2FFB" w:rsidRPr="00CB2647">
        <w:t>İleri evre endometriozis,geçirilmiş cerrahiye veya geçirilmiş enfeksiyona bağlı adezyonları bulunan hastalar pelvik organ yaralanması açısından risk teşkil etmektedir.</w:t>
      </w:r>
    </w:p>
    <w:p w:rsidR="00FE2FFB" w:rsidRPr="00CB2647" w:rsidRDefault="005B511B" w:rsidP="005B511B">
      <w:r w:rsidRPr="00CB2647">
        <w:tab/>
      </w:r>
      <w:r w:rsidR="00FE2FFB" w:rsidRPr="00CB2647">
        <w:t>OPU’ya bağlı lumbosakra</w:t>
      </w:r>
      <w:r w:rsidR="00FA6D01" w:rsidRPr="00CB2647">
        <w:t xml:space="preserve">l </w:t>
      </w:r>
      <w:r w:rsidR="00FE2FFB" w:rsidRPr="00CB2647">
        <w:t>osteomiyelitis,sakral ven laserasyonu,dermoid kist rüptürü,iliak arter psödoanevrizması</w:t>
      </w:r>
      <w:r w:rsidR="003564C8" w:rsidRPr="00CB2647">
        <w:t>,üreterovajinal fistül gibi komplikasyonlar literatürde bildirilmiş nadir komplikasyonlardır(3).</w:t>
      </w:r>
    </w:p>
    <w:p w:rsidR="00D81A30" w:rsidRPr="00CB2647" w:rsidRDefault="00D81A30" w:rsidP="00DF52CD">
      <w:pPr>
        <w:tabs>
          <w:tab w:val="left" w:pos="6570"/>
        </w:tabs>
        <w:rPr>
          <w:rFonts w:cs="Times New Roman"/>
          <w:szCs w:val="24"/>
        </w:rPr>
      </w:pPr>
    </w:p>
    <w:p w:rsidR="002A0AB1" w:rsidRPr="00CB2647" w:rsidRDefault="002A0AB1" w:rsidP="00DF52CD">
      <w:pPr>
        <w:tabs>
          <w:tab w:val="left" w:pos="6570"/>
        </w:tabs>
        <w:rPr>
          <w:rFonts w:cs="Times New Roman"/>
          <w:szCs w:val="24"/>
        </w:rPr>
      </w:pPr>
    </w:p>
    <w:p w:rsidR="005B511B" w:rsidRPr="00CB2647" w:rsidRDefault="005B511B">
      <w:pPr>
        <w:tabs>
          <w:tab w:val="clear" w:pos="709"/>
        </w:tabs>
        <w:spacing w:after="200" w:line="276" w:lineRule="auto"/>
        <w:jc w:val="left"/>
        <w:rPr>
          <w:rFonts w:cs="Times New Roman"/>
          <w:b/>
          <w:sz w:val="28"/>
          <w:szCs w:val="28"/>
        </w:rPr>
      </w:pPr>
      <w:r w:rsidRPr="00CB2647">
        <w:rPr>
          <w:rFonts w:cs="Times New Roman"/>
          <w:b/>
          <w:sz w:val="28"/>
          <w:szCs w:val="28"/>
        </w:rPr>
        <w:br w:type="page"/>
      </w:r>
    </w:p>
    <w:p w:rsidR="000029CF" w:rsidRPr="00CB2647" w:rsidRDefault="009E3372" w:rsidP="005B511B">
      <w:pPr>
        <w:pStyle w:val="Balk1"/>
        <w:jc w:val="center"/>
        <w:rPr>
          <w:szCs w:val="24"/>
        </w:rPr>
      </w:pPr>
      <w:bookmarkStart w:id="22" w:name="_Toc432062034"/>
      <w:r w:rsidRPr="00CB2647">
        <w:lastRenderedPageBreak/>
        <w:t>3.GEREÇ VE YÖNTEM</w:t>
      </w:r>
      <w:bookmarkEnd w:id="22"/>
    </w:p>
    <w:p w:rsidR="009E3372" w:rsidRPr="00CB2647" w:rsidRDefault="009E3372" w:rsidP="001A37CF">
      <w:pPr>
        <w:pStyle w:val="Balk2"/>
      </w:pPr>
      <w:bookmarkStart w:id="23" w:name="_Toc432062035"/>
      <w:r w:rsidRPr="00CB2647">
        <w:t>3.1.Olgu Seçimi</w:t>
      </w:r>
      <w:bookmarkEnd w:id="23"/>
    </w:p>
    <w:p w:rsidR="009E3372" w:rsidRPr="00CB2647" w:rsidRDefault="001A37CF" w:rsidP="001A37CF">
      <w:r w:rsidRPr="00CB2647">
        <w:tab/>
      </w:r>
      <w:r w:rsidR="00CD40A4" w:rsidRPr="00CB2647">
        <w:t>Bu tez çalışması,</w:t>
      </w:r>
      <w:r w:rsidR="00D03EFC">
        <w:t xml:space="preserve"> </w:t>
      </w:r>
      <w:r w:rsidR="00CD40A4" w:rsidRPr="00CB2647">
        <w:t xml:space="preserve">Başkent Üniversitesi Tıp Fakültesi Hastanesi Tıp ve Sağlık Bilimleri Araştırma Kurulu’nun bilimsel ve etik açılardan onayı(proje no:KA 13/161) ve Türkiye İlaç ve Tıbbi Cihaz Kurum onayı </w:t>
      </w:r>
      <w:r w:rsidR="003D1D8A" w:rsidRPr="00CB2647">
        <w:t>alınarak planlandı</w:t>
      </w:r>
      <w:r w:rsidR="00CD40A4" w:rsidRPr="00CB2647">
        <w:t>.</w:t>
      </w:r>
      <w:r w:rsidR="00B90E79" w:rsidRPr="00CB2647">
        <w:t xml:space="preserve"> Aynı zamanda çalışmamız clinicaltrials.gov internet adresine kayıt edilip NCT02391155 numarası alınarak çalışmaya başlanmıştır. </w:t>
      </w:r>
      <w:r w:rsidR="00CD40A4" w:rsidRPr="00CB2647">
        <w:t>Çalışma Başkent Üniversitesi Adana Eğitim ve Uygulama Hastanesi Kadı</w:t>
      </w:r>
      <w:r w:rsidR="001355DD" w:rsidRPr="00CB2647">
        <w:t xml:space="preserve">n Hastalıkları ve Doğum Bölümü </w:t>
      </w:r>
      <w:r w:rsidR="00CD40A4" w:rsidRPr="00CB2647">
        <w:t xml:space="preserve">Tüp Bebek Merkezinde </w:t>
      </w:r>
      <w:r w:rsidR="008E5767" w:rsidRPr="00CB2647">
        <w:t>Ocak-Haziran 201</w:t>
      </w:r>
      <w:r w:rsidR="006E0ADE" w:rsidRPr="00CB2647">
        <w:t>5 ayları arasında uygulandı.</w:t>
      </w:r>
    </w:p>
    <w:p w:rsidR="001A37CF" w:rsidRPr="00CB2647" w:rsidRDefault="001A37CF" w:rsidP="001A37CF"/>
    <w:p w:rsidR="008E5767" w:rsidRPr="00CB2647" w:rsidRDefault="001A37CF" w:rsidP="001A37CF">
      <w:pPr>
        <w:rPr>
          <w:b/>
          <w:u w:val="single"/>
        </w:rPr>
      </w:pPr>
      <w:r w:rsidRPr="00CB2647">
        <w:rPr>
          <w:b/>
        </w:rPr>
        <w:tab/>
      </w:r>
      <w:r w:rsidR="008E5767" w:rsidRPr="00CB2647">
        <w:rPr>
          <w:b/>
          <w:u w:val="single"/>
        </w:rPr>
        <w:t>Çalışmaya dahil edilme kriterleri:</w:t>
      </w:r>
    </w:p>
    <w:p w:rsidR="008E5767" w:rsidRPr="00CB2647" w:rsidRDefault="001A37CF" w:rsidP="001A37CF">
      <w:r w:rsidRPr="00CB2647">
        <w:tab/>
      </w:r>
      <w:r w:rsidR="008E5767" w:rsidRPr="00CB2647">
        <w:t>1)20-45 yaş aralığında olması</w:t>
      </w:r>
    </w:p>
    <w:p w:rsidR="008E5767" w:rsidRPr="00CB2647" w:rsidRDefault="001A37CF" w:rsidP="001A37CF">
      <w:r w:rsidRPr="00CB2647">
        <w:tab/>
      </w:r>
      <w:r w:rsidR="008E5767" w:rsidRPr="00CB2647">
        <w:t xml:space="preserve">2)Yumurta çatlatma zamanı toplam </w:t>
      </w:r>
      <w:r w:rsidR="00437943" w:rsidRPr="00CB2647">
        <w:t xml:space="preserve">13mm üzerindeki </w:t>
      </w:r>
      <w:r w:rsidR="008E5767" w:rsidRPr="00CB2647">
        <w:t>follikül sayısının 5’in altında olması</w:t>
      </w:r>
    </w:p>
    <w:p w:rsidR="008E5767" w:rsidRPr="00CB2647" w:rsidRDefault="001A37CF" w:rsidP="001A37CF">
      <w:r w:rsidRPr="00CB2647">
        <w:tab/>
      </w:r>
      <w:r w:rsidR="008E5767" w:rsidRPr="00CB2647">
        <w:t>3)Yumurta çatlatma</w:t>
      </w:r>
      <w:r w:rsidR="001355DD" w:rsidRPr="00CB2647">
        <w:t xml:space="preserve"> zamanı progesteron değerinin 1,</w:t>
      </w:r>
      <w:r w:rsidR="008E5767" w:rsidRPr="00CB2647">
        <w:t>5 ng/ml’nin altında olması</w:t>
      </w:r>
    </w:p>
    <w:p w:rsidR="008E5767" w:rsidRPr="00CB2647" w:rsidRDefault="001A37CF" w:rsidP="001A37CF">
      <w:r w:rsidRPr="00CB2647">
        <w:tab/>
      </w:r>
      <w:r w:rsidR="008E5767" w:rsidRPr="00CB2647">
        <w:t>4)Kötü over rezerv tanısının olması</w:t>
      </w:r>
    </w:p>
    <w:p w:rsidR="001A37CF" w:rsidRPr="00CB2647" w:rsidRDefault="001A37CF" w:rsidP="001A37CF"/>
    <w:p w:rsidR="008E5767" w:rsidRPr="00CB2647" w:rsidRDefault="001A37CF" w:rsidP="001A37CF">
      <w:pPr>
        <w:rPr>
          <w:b/>
          <w:u w:val="single"/>
        </w:rPr>
      </w:pPr>
      <w:r w:rsidRPr="00CB2647">
        <w:rPr>
          <w:b/>
        </w:rPr>
        <w:tab/>
      </w:r>
      <w:r w:rsidR="00744CA3" w:rsidRPr="00CB2647">
        <w:rPr>
          <w:b/>
          <w:u w:val="single"/>
        </w:rPr>
        <w:t xml:space="preserve">Çalışmada dışlanma </w:t>
      </w:r>
      <w:r w:rsidR="008E5767" w:rsidRPr="00CB2647">
        <w:rPr>
          <w:b/>
          <w:u w:val="single"/>
        </w:rPr>
        <w:t>kriterleri:</w:t>
      </w:r>
    </w:p>
    <w:p w:rsidR="008E5767" w:rsidRPr="00CB2647" w:rsidRDefault="001A37CF" w:rsidP="001A37CF">
      <w:r w:rsidRPr="00CB2647">
        <w:tab/>
      </w:r>
      <w:r w:rsidR="008E5767" w:rsidRPr="00CB2647">
        <w:t>1)20 yaş altı ve 45 yaş üstü kadın olması</w:t>
      </w:r>
    </w:p>
    <w:p w:rsidR="008E5767" w:rsidRPr="00CB2647" w:rsidRDefault="001A37CF" w:rsidP="001A37CF">
      <w:r w:rsidRPr="00CB2647">
        <w:tab/>
      </w:r>
      <w:r w:rsidR="008E5767" w:rsidRPr="00CB2647">
        <w:t>2)Yumurta çatlatma zamanı toplam</w:t>
      </w:r>
      <w:r w:rsidR="00983C15" w:rsidRPr="00CB2647">
        <w:t xml:space="preserve"> 13mm üzerindeki</w:t>
      </w:r>
      <w:r w:rsidR="008E5767" w:rsidRPr="00CB2647">
        <w:t xml:space="preserve"> folikül sayısı 5 ve üstünde olması</w:t>
      </w:r>
    </w:p>
    <w:p w:rsidR="008E5767" w:rsidRPr="00CB2647" w:rsidRDefault="001A37CF" w:rsidP="001A37CF">
      <w:r w:rsidRPr="00CB2647">
        <w:tab/>
      </w:r>
      <w:r w:rsidR="008E5767" w:rsidRPr="00CB2647">
        <w:t>3)Yumurta çatlatma</w:t>
      </w:r>
      <w:r w:rsidR="001355DD" w:rsidRPr="00CB2647">
        <w:t xml:space="preserve"> zamanı progesteron değerinin 1,</w:t>
      </w:r>
      <w:r w:rsidR="008E5767" w:rsidRPr="00CB2647">
        <w:t>5 ng/ml’nin üstünde olması</w:t>
      </w:r>
    </w:p>
    <w:p w:rsidR="008E5767" w:rsidRPr="00CB2647" w:rsidRDefault="001A37CF" w:rsidP="001A37CF">
      <w:r w:rsidRPr="00CB2647">
        <w:tab/>
      </w:r>
      <w:r w:rsidR="008E5767" w:rsidRPr="00CB2647">
        <w:t>4)Tek follikül olması</w:t>
      </w:r>
    </w:p>
    <w:p w:rsidR="008E5767" w:rsidRPr="00CB2647" w:rsidRDefault="001A37CF" w:rsidP="001A37CF">
      <w:r w:rsidRPr="00CB2647">
        <w:tab/>
      </w:r>
      <w:r w:rsidR="008E5767" w:rsidRPr="00CB2647">
        <w:t>5)Natürel siklus olması</w:t>
      </w:r>
    </w:p>
    <w:p w:rsidR="008E5767" w:rsidRPr="00CB2647" w:rsidRDefault="001A37CF" w:rsidP="001A37CF">
      <w:pPr>
        <w:rPr>
          <w:rFonts w:cs="Times New Roman"/>
        </w:rPr>
      </w:pPr>
      <w:r w:rsidRPr="00CB2647">
        <w:tab/>
      </w:r>
      <w:r w:rsidR="00902108" w:rsidRPr="00CB2647">
        <w:t>Randomize kontrollü olarak yapılan çalışmada h</w:t>
      </w:r>
      <w:r w:rsidR="00FA04BB" w:rsidRPr="00CB2647">
        <w:t xml:space="preserve">asta sayısı </w:t>
      </w:r>
      <w:r w:rsidR="00EF4CD5" w:rsidRPr="00CB2647">
        <w:t xml:space="preserve">biyoistatiksel analiz sonrası </w:t>
      </w:r>
      <w:r w:rsidR="001355DD" w:rsidRPr="00CB2647">
        <w:t xml:space="preserve">80 hasta </w:t>
      </w:r>
      <w:r w:rsidR="009C55AF" w:rsidRPr="00CB2647">
        <w:t>ile yapıldı</w:t>
      </w:r>
      <w:r w:rsidR="00EF4CD5" w:rsidRPr="00CB2647">
        <w:t>.</w:t>
      </w:r>
      <w:r w:rsidR="00D03EFC">
        <w:t xml:space="preserve"> </w:t>
      </w:r>
      <w:r w:rsidR="006E0ADE" w:rsidRPr="00CB2647">
        <w:t>Hastaların yarısı tek lümen grubuna diğer yarsı çift lümen grubuna dahil edildi.</w:t>
      </w:r>
      <w:r w:rsidR="00EF4CD5" w:rsidRPr="00CB2647">
        <w:rPr>
          <w:rFonts w:cs="Times New Roman"/>
        </w:rPr>
        <w:t xml:space="preserve"> Çalışmada hasta seçimi OPU işlemi öncesi, daha önceden hazırlanmış kapalı</w:t>
      </w:r>
      <w:r w:rsidR="00D86016" w:rsidRPr="00CB2647">
        <w:rPr>
          <w:rFonts w:cs="Times New Roman"/>
        </w:rPr>
        <w:t xml:space="preserve"> zarflardan </w:t>
      </w:r>
      <w:r w:rsidR="00EF4CD5" w:rsidRPr="00CB2647">
        <w:rPr>
          <w:rFonts w:cs="Times New Roman"/>
        </w:rPr>
        <w:t xml:space="preserve">çalışmayla ilgisi olmayan bir </w:t>
      </w:r>
      <w:r w:rsidR="0042429A" w:rsidRPr="00CB2647">
        <w:rPr>
          <w:rFonts w:cs="Times New Roman"/>
        </w:rPr>
        <w:t>personel tarafından çekildi</w:t>
      </w:r>
      <w:r w:rsidR="00EF4CD5" w:rsidRPr="00CB2647">
        <w:rPr>
          <w:rFonts w:cs="Times New Roman"/>
        </w:rPr>
        <w:t xml:space="preserve"> ve zarftan çıkan </w:t>
      </w:r>
      <w:r w:rsidR="00D86016" w:rsidRPr="00CB2647">
        <w:rPr>
          <w:rFonts w:cs="Times New Roman"/>
        </w:rPr>
        <w:t xml:space="preserve">o </w:t>
      </w:r>
      <w:r w:rsidR="00EF4CD5" w:rsidRPr="00CB2647">
        <w:rPr>
          <w:rFonts w:cs="Times New Roman"/>
        </w:rPr>
        <w:t>gruba hasta dahil edildi.</w:t>
      </w:r>
    </w:p>
    <w:p w:rsidR="00383468" w:rsidRPr="00CB2647" w:rsidRDefault="001A37CF" w:rsidP="001A37CF">
      <w:r w:rsidRPr="00CB2647">
        <w:tab/>
      </w:r>
      <w:r w:rsidR="00383468" w:rsidRPr="00CB2647">
        <w:t>OPU iğnesi ile 13mm üzerindeki follikülere girilerek aspirasyon yapıldı.</w:t>
      </w:r>
      <w:r w:rsidR="00D03EFC">
        <w:t xml:space="preserve"> </w:t>
      </w:r>
      <w:r w:rsidR="00383468" w:rsidRPr="00CB2647">
        <w:t>Bu esnada OPU süresi ve uygulanan anestezi miktarı ve anestezik maddeler not edildi.</w:t>
      </w:r>
    </w:p>
    <w:p w:rsidR="006E0ADE" w:rsidRPr="00CB2647" w:rsidRDefault="001A37CF" w:rsidP="001A37CF">
      <w:r w:rsidRPr="00CB2647">
        <w:lastRenderedPageBreak/>
        <w:tab/>
      </w:r>
      <w:r w:rsidR="00BF0900" w:rsidRPr="00CB2647">
        <w:t>Çalışma esnasında çift lümen grubuna dahil olan hastalarda follikül aspirasyonu yapıldıktan sonra iğne fol</w:t>
      </w:r>
      <w:r w:rsidR="00902108" w:rsidRPr="00CB2647">
        <w:t xml:space="preserve">likülden çıkarılmadan follikül </w:t>
      </w:r>
      <w:r w:rsidR="00BF0900" w:rsidRPr="00CB2647">
        <w:t>3 kez flush mediumu ile yıkandıktan sonra tekrar aspire edildi.</w:t>
      </w:r>
    </w:p>
    <w:p w:rsidR="001A59F4" w:rsidRPr="00CB2647" w:rsidRDefault="001A37CF" w:rsidP="001A37CF">
      <w:r w:rsidRPr="00CB2647">
        <w:tab/>
      </w:r>
      <w:r w:rsidR="007102C0" w:rsidRPr="00CB2647">
        <w:t>İşlem sonrası toplanan oosit sayısı,M2 ve 2PN sayısı</w:t>
      </w:r>
      <w:r w:rsidR="00D86016" w:rsidRPr="00CB2647">
        <w:t>,fertilizasyon oranı,embriyo sayısı,transfer edilen embriyo sayısı,gebelik oranı,klinik gebelik oranı</w:t>
      </w:r>
      <w:r w:rsidR="007102C0" w:rsidRPr="00CB2647">
        <w:t xml:space="preserve"> kayıt edildi.Değerlendirmeye infertilite süreside alındı.</w:t>
      </w:r>
    </w:p>
    <w:p w:rsidR="009E3372" w:rsidRPr="00CB2647" w:rsidRDefault="009E3372" w:rsidP="001A37CF"/>
    <w:p w:rsidR="00280D5F" w:rsidRPr="00CB2647" w:rsidRDefault="00D23813" w:rsidP="001A37CF">
      <w:pPr>
        <w:pStyle w:val="Balk2"/>
      </w:pPr>
      <w:bookmarkStart w:id="24" w:name="_Toc432062036"/>
      <w:r w:rsidRPr="00CB2647">
        <w:t>3.2.</w:t>
      </w:r>
      <w:r w:rsidR="00280D5F" w:rsidRPr="00CB2647">
        <w:t>İstatistiksel Analiz</w:t>
      </w:r>
      <w:bookmarkEnd w:id="24"/>
    </w:p>
    <w:p w:rsidR="003024F3" w:rsidRPr="00CB2647" w:rsidRDefault="003024F3" w:rsidP="001A37CF">
      <w:pPr>
        <w:pStyle w:val="Balk3"/>
      </w:pPr>
      <w:bookmarkStart w:id="25" w:name="_Toc432062037"/>
      <w:r w:rsidRPr="00CB2647">
        <w:t>3.2.1. Örneklem</w:t>
      </w:r>
      <w:r w:rsidR="00CA16EE" w:rsidRPr="00CB2647">
        <w:t>e</w:t>
      </w:r>
      <w:r w:rsidRPr="00CB2647">
        <w:t xml:space="preserve"> Hesaplaması</w:t>
      </w:r>
      <w:bookmarkEnd w:id="25"/>
    </w:p>
    <w:p w:rsidR="003024F3" w:rsidRPr="00CB2647" w:rsidRDefault="001A37CF" w:rsidP="001A37CF">
      <w:r w:rsidRPr="00CB2647">
        <w:tab/>
      </w:r>
      <w:r w:rsidR="00CA16EE" w:rsidRPr="00CB2647">
        <w:t>Çalışmam</w:t>
      </w:r>
      <w:r w:rsidR="003024F3" w:rsidRPr="00CB2647">
        <w:t>ız için “Follicular flushing and in vitro fertilization outcomes in the poorest responders: a randomized controlled trial (Human Reproduction, Vol.28, No.11 pp. 2990–2995, 2013)” çalışması baz alınarak örneklem</w:t>
      </w:r>
      <w:r w:rsidR="00595E98" w:rsidRPr="00CB2647">
        <w:t>e</w:t>
      </w:r>
      <w:r w:rsidR="003024F3" w:rsidRPr="00CB2647">
        <w:t xml:space="preserve"> hesabı yapılmıştır. Bu çalışmanın tedavi sonrası gruplara göre</w:t>
      </w:r>
      <w:r w:rsidR="009C55AF" w:rsidRPr="00CB2647">
        <w:t xml:space="preserve"> oosit</w:t>
      </w:r>
      <w:r w:rsidR="00D03EFC">
        <w:t xml:space="preserve"> </w:t>
      </w:r>
      <w:r w:rsidR="003024F3" w:rsidRPr="00CB2647">
        <w:t>ölçüm sonuçlarına göre elde ettiğimiz program sonuç çıktıları aşağıda özetlenmiştir. Örneklem</w:t>
      </w:r>
      <w:r w:rsidR="00D03EFC">
        <w:t>e</w:t>
      </w:r>
      <w:r w:rsidR="003024F3" w:rsidRPr="00CB2647">
        <w:t xml:space="preserve"> hesabı için Win-Epi 2.0 programı kullanılmıştır.</w:t>
      </w:r>
    </w:p>
    <w:p w:rsidR="003024F3" w:rsidRPr="00CB2647" w:rsidRDefault="001A37CF" w:rsidP="001A37CF">
      <w:r w:rsidRPr="00CB2647">
        <w:tab/>
      </w:r>
      <w:r w:rsidR="003024F3" w:rsidRPr="00CB2647">
        <w:t>Oosit sayısının direk aspirasyon grubu ve yıkama grubu ölçüm sonuçlarına göre %95 GA %80 power ile hesaplanan örneklem</w:t>
      </w:r>
      <w:r w:rsidR="00D03EFC">
        <w:t>e</w:t>
      </w:r>
      <w:r w:rsidR="003024F3" w:rsidRPr="00CB2647">
        <w:t xml:space="preserve"> hesabı sonucunda her bir gruba 40 hasta olarak hesaplanmıştır.</w:t>
      </w:r>
    </w:p>
    <w:p w:rsidR="003024F3" w:rsidRPr="00CB2647" w:rsidRDefault="003024F3" w:rsidP="001A37CF"/>
    <w:p w:rsidR="003024F3" w:rsidRPr="00CB2647" w:rsidRDefault="001A37CF" w:rsidP="001A37CF">
      <w:pPr>
        <w:pStyle w:val="Balk3"/>
      </w:pPr>
      <w:bookmarkStart w:id="26" w:name="_Toc432062038"/>
      <w:r w:rsidRPr="00CB2647">
        <w:t xml:space="preserve">3.2.2. </w:t>
      </w:r>
      <w:r w:rsidR="003024F3" w:rsidRPr="00CB2647">
        <w:t xml:space="preserve">İstatistiksel </w:t>
      </w:r>
      <w:r w:rsidRPr="00CB2647">
        <w:t>Metod</w:t>
      </w:r>
      <w:bookmarkEnd w:id="26"/>
    </w:p>
    <w:p w:rsidR="003024F3" w:rsidRPr="00CB2647" w:rsidRDefault="001A37CF" w:rsidP="001A37CF">
      <w:r w:rsidRPr="00CB2647">
        <w:tab/>
      </w:r>
      <w:r w:rsidR="003024F3" w:rsidRPr="00CB2647">
        <w:t>Verilerin istatistiksel analizinde SPSS 17.0 paket programı kullanılmıştır. Kategorik ölçümler sayı ve yüzde olarak, sürekli ölçümlerse ortalama ve standart sapma (gerekli yerlerde ortanca ve minimum - maksimum) olarak değerlendirilmiştir. Kategorik değişkenlerin karşılaştırılmasında Ki Kare test ya da Fisher test istatistiği kullanılmıştır. Gruplar arasında sürekli ölçümlerin karşılaştırılmasında parametrik dağılım ön şartı sağlayan değişkenlerde Bağımsız grup T testi, parametrik dağılım ön şartı sağlamayan değişkenlerde de Mann Whitney U testi kullanılmıştır. Tüm testlerde istatistiksel önem düzeyi 0.05 olarak alınmıştır.</w:t>
      </w:r>
    </w:p>
    <w:p w:rsidR="002331FB" w:rsidRPr="00CB2647" w:rsidRDefault="002331FB" w:rsidP="001A37CF"/>
    <w:p w:rsidR="001A37CF" w:rsidRPr="00CB2647" w:rsidRDefault="001A37CF">
      <w:pPr>
        <w:tabs>
          <w:tab w:val="clear" w:pos="709"/>
        </w:tabs>
        <w:spacing w:after="200" w:line="276" w:lineRule="auto"/>
        <w:jc w:val="left"/>
        <w:rPr>
          <w:b/>
          <w:sz w:val="28"/>
          <w:szCs w:val="28"/>
        </w:rPr>
      </w:pPr>
      <w:r w:rsidRPr="00CB2647">
        <w:rPr>
          <w:b/>
          <w:sz w:val="28"/>
          <w:szCs w:val="28"/>
        </w:rPr>
        <w:br w:type="page"/>
      </w:r>
    </w:p>
    <w:p w:rsidR="004B410F" w:rsidRPr="00CB2647" w:rsidRDefault="00EC72CF" w:rsidP="001A37CF">
      <w:pPr>
        <w:pStyle w:val="Balk1"/>
        <w:jc w:val="center"/>
      </w:pPr>
      <w:bookmarkStart w:id="27" w:name="_Toc432062039"/>
      <w:r w:rsidRPr="00CB2647">
        <w:lastRenderedPageBreak/>
        <w:t>4.BULGULAR</w:t>
      </w:r>
      <w:bookmarkEnd w:id="27"/>
    </w:p>
    <w:p w:rsidR="00EC72CF" w:rsidRPr="00CB2647" w:rsidRDefault="00EC72CF" w:rsidP="001A37CF">
      <w:pPr>
        <w:pStyle w:val="Balk2"/>
        <w:rPr>
          <w:sz w:val="28"/>
          <w:szCs w:val="28"/>
        </w:rPr>
      </w:pPr>
      <w:bookmarkStart w:id="28" w:name="_Toc432062040"/>
      <w:r w:rsidRPr="00CB2647">
        <w:t>4.1.</w:t>
      </w:r>
      <w:r w:rsidR="004B410F" w:rsidRPr="00CB2647">
        <w:t>Olgu</w:t>
      </w:r>
      <w:r w:rsidR="003D274D" w:rsidRPr="00CB2647">
        <w:t xml:space="preserve"> Değerlendir</w:t>
      </w:r>
      <w:r w:rsidR="004B410F" w:rsidRPr="00CB2647">
        <w:t>me</w:t>
      </w:r>
      <w:bookmarkEnd w:id="28"/>
    </w:p>
    <w:p w:rsidR="004B410F" w:rsidRPr="00CB2647" w:rsidRDefault="001A37CF" w:rsidP="001A37CF">
      <w:r w:rsidRPr="00CB2647">
        <w:tab/>
      </w:r>
      <w:r w:rsidR="004B410F" w:rsidRPr="00CB2647">
        <w:t xml:space="preserve">Çalışma 8 Ocak-1 Haziran 2015 </w:t>
      </w:r>
      <w:r w:rsidR="00243531" w:rsidRPr="00CB2647">
        <w:t xml:space="preserve">tarihleri </w:t>
      </w:r>
      <w:r w:rsidR="004B410F" w:rsidRPr="00CB2647">
        <w:t>arasında gerçekleştirildi.</w:t>
      </w:r>
      <w:r w:rsidR="00D03EFC">
        <w:t xml:space="preserve"> </w:t>
      </w:r>
      <w:r w:rsidR="00D157A3" w:rsidRPr="00CB2647">
        <w:t xml:space="preserve">Bu süre içinde </w:t>
      </w:r>
      <w:r w:rsidR="00C66008" w:rsidRPr="00CB2647">
        <w:t>775</w:t>
      </w:r>
      <w:r w:rsidR="00D157A3" w:rsidRPr="00CB2647">
        <w:t xml:space="preserve"> olguya </w:t>
      </w:r>
      <w:r w:rsidR="00243531" w:rsidRPr="00CB2647">
        <w:t>867 siklu</w:t>
      </w:r>
      <w:r w:rsidR="00D157A3" w:rsidRPr="00CB2647">
        <w:t>s yapıldı ve bunlardan 156 hasta kötü over rezervli olarak değerlendirildi.Kötü over rezervli olanlardan mon</w:t>
      </w:r>
      <w:r w:rsidR="003D274D" w:rsidRPr="00CB2647">
        <w:t>ofolliküler olanlar çalışma dışında tutuldu.</w:t>
      </w:r>
      <w:r w:rsidR="00D157A3" w:rsidRPr="00CB2647">
        <w:t>Kötü over rezervli hastalardan monofolliküler hastalar dışlandığında(12 hasta) 64 hasta çalışmaya katılmayı kabul etmed</w:t>
      </w:r>
      <w:r w:rsidR="003D274D" w:rsidRPr="00CB2647">
        <w:t>i.</w:t>
      </w:r>
      <w:r w:rsidR="00803BBA" w:rsidRPr="00CB2647">
        <w:t>İstatistik</w:t>
      </w:r>
      <w:r w:rsidR="00EB2075" w:rsidRPr="00CB2647">
        <w:t>tik</w:t>
      </w:r>
      <w:r w:rsidR="00803BBA" w:rsidRPr="00CB2647">
        <w:t>s</w:t>
      </w:r>
      <w:r w:rsidR="00EB2075" w:rsidRPr="00CB2647">
        <w:t>el analizde hasta</w:t>
      </w:r>
      <w:r w:rsidR="00CA16EE" w:rsidRPr="00CB2647">
        <w:t xml:space="preserve">sayısı 80 </w:t>
      </w:r>
      <w:r w:rsidR="00803BBA" w:rsidRPr="00CB2647">
        <w:t>olara</w:t>
      </w:r>
      <w:r w:rsidR="00EB2075" w:rsidRPr="00CB2647">
        <w:t>k</w:t>
      </w:r>
      <w:r w:rsidR="00CA16EE" w:rsidRPr="00CB2647">
        <w:t xml:space="preserve"> belirlendi.</w:t>
      </w:r>
      <w:r w:rsidR="003D274D" w:rsidRPr="00CB2647">
        <w:t>B</w:t>
      </w:r>
      <w:r w:rsidR="00D157A3" w:rsidRPr="00CB2647">
        <w:t xml:space="preserve">unlardan yarısı tek lümenli </w:t>
      </w:r>
      <w:r w:rsidR="003D274D" w:rsidRPr="00CB2647">
        <w:t>iğne grubuna,</w:t>
      </w:r>
      <w:r w:rsidR="00D157A3" w:rsidRPr="00CB2647">
        <w:t xml:space="preserve">diğer yarısı ise çift lümenli </w:t>
      </w:r>
      <w:r w:rsidR="002C7F2A" w:rsidRPr="00CB2647">
        <w:t xml:space="preserve">iğne grubuna </w:t>
      </w:r>
      <w:r w:rsidR="00D157A3" w:rsidRPr="00CB2647">
        <w:t>dahil edil</w:t>
      </w:r>
      <w:r w:rsidR="00803BBA" w:rsidRPr="00CB2647">
        <w:t xml:space="preserve">di ve </w:t>
      </w:r>
      <w:r w:rsidR="002C7F2A" w:rsidRPr="00CB2647">
        <w:t xml:space="preserve">elde edilen </w:t>
      </w:r>
      <w:r w:rsidR="00D157A3" w:rsidRPr="00CB2647">
        <w:t>verilerden istatistiksel analiz yapıldı</w:t>
      </w:r>
      <w:r w:rsidR="009E1E8E" w:rsidRPr="00CB2647">
        <w:t>(Şekil 4.1).</w:t>
      </w:r>
    </w:p>
    <w:p w:rsidR="001A37CF" w:rsidRPr="00CB2647" w:rsidRDefault="001A37CF" w:rsidP="001A37CF"/>
    <w:p w:rsidR="00840DC0" w:rsidRPr="00CB2647" w:rsidRDefault="001A37CF" w:rsidP="001A37CF">
      <w:r w:rsidRPr="00CB2647">
        <w:tab/>
      </w:r>
      <w:r w:rsidR="00902108" w:rsidRPr="00CB2647">
        <w:t>Şekil 4.</w:t>
      </w:r>
      <w:r w:rsidR="005C5367" w:rsidRPr="00CB2647">
        <w:t>1</w:t>
      </w:r>
      <w:r w:rsidRPr="00CB2647">
        <w:t xml:space="preserve">: </w:t>
      </w:r>
      <w:r w:rsidR="005C5367" w:rsidRPr="00CB2647">
        <w:t xml:space="preserve">Çalışmada </w:t>
      </w:r>
      <w:r w:rsidRPr="00CB2647">
        <w:t>Olgu Seçiminde Uygulanan Kriterler</w:t>
      </w:r>
    </w:p>
    <w:p w:rsidR="00411D58" w:rsidRPr="00CB2647" w:rsidRDefault="001A37CF" w:rsidP="001A37CF">
      <w:pPr>
        <w:jc w:val="center"/>
      </w:pPr>
      <w:r w:rsidRPr="00CB2647">
        <w:rPr>
          <w:noProof/>
        </w:rPr>
        <w:drawing>
          <wp:inline distT="0" distB="0" distL="0" distR="0">
            <wp:extent cx="5001904" cy="4799915"/>
            <wp:effectExtent l="0" t="0" r="8255" b="1270"/>
            <wp:docPr id="21" name="Resi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03873" cy="4801805"/>
                    </a:xfrm>
                    <a:prstGeom prst="rect">
                      <a:avLst/>
                    </a:prstGeom>
                    <a:noFill/>
                    <a:ln>
                      <a:noFill/>
                    </a:ln>
                  </pic:spPr>
                </pic:pic>
              </a:graphicData>
            </a:graphic>
          </wp:inline>
        </w:drawing>
      </w:r>
    </w:p>
    <w:p w:rsidR="00243742" w:rsidRPr="00CB2647" w:rsidRDefault="00243742" w:rsidP="001A37CF"/>
    <w:p w:rsidR="001A37CF" w:rsidRPr="00CB2647" w:rsidRDefault="001A37CF" w:rsidP="001A37CF"/>
    <w:p w:rsidR="00AD6647" w:rsidRPr="00CB2647" w:rsidRDefault="00AD6647" w:rsidP="001A37CF">
      <w:pPr>
        <w:pStyle w:val="Balk2"/>
      </w:pPr>
      <w:bookmarkStart w:id="29" w:name="_Toc432062041"/>
      <w:r w:rsidRPr="00CB2647">
        <w:lastRenderedPageBreak/>
        <w:t>4.2. Tek ve Çift</w:t>
      </w:r>
      <w:r w:rsidR="001A37CF" w:rsidRPr="00CB2647">
        <w:t>Lümen İğne Karşılaştırma Sonuçları</w:t>
      </w:r>
      <w:bookmarkEnd w:id="29"/>
    </w:p>
    <w:p w:rsidR="001A37CF" w:rsidRPr="00CB2647" w:rsidRDefault="001A37CF" w:rsidP="001A37CF">
      <w:r w:rsidRPr="00CB2647">
        <w:tab/>
        <w:t>Tablo 4.1: Tek Lümen ile Çift Lümen Kullanılan Gruplar Arasında Demografik ve Siklus Özellikleri</w:t>
      </w:r>
    </w:p>
    <w:tbl>
      <w:tblPr>
        <w:tblStyle w:val="AkListe-Vurgu5"/>
        <w:tblW w:w="0" w:type="auto"/>
        <w:tblInd w:w="108" w:type="dxa"/>
        <w:tblBorders>
          <w:insideH w:val="single" w:sz="8" w:space="0" w:color="4BACC6" w:themeColor="accent5"/>
          <w:insideV w:val="single" w:sz="8" w:space="0" w:color="4BACC6" w:themeColor="accent5"/>
        </w:tblBorders>
        <w:tblLayout w:type="fixed"/>
        <w:tblLook w:val="04A0"/>
      </w:tblPr>
      <w:tblGrid>
        <w:gridCol w:w="3261"/>
        <w:gridCol w:w="2316"/>
        <w:gridCol w:w="2078"/>
        <w:gridCol w:w="850"/>
      </w:tblGrid>
      <w:tr w:rsidR="00DC2502" w:rsidRPr="00CB2647" w:rsidTr="001A37CF">
        <w:trPr>
          <w:cnfStyle w:val="100000000000"/>
        </w:trPr>
        <w:tc>
          <w:tcPr>
            <w:cnfStyle w:val="001000000000"/>
            <w:tcW w:w="3261" w:type="dxa"/>
            <w:vAlign w:val="center"/>
          </w:tcPr>
          <w:p w:rsidR="004A1424" w:rsidRPr="00CB2647" w:rsidRDefault="004A1424" w:rsidP="001A37CF">
            <w:pPr>
              <w:jc w:val="left"/>
              <w:rPr>
                <w:sz w:val="20"/>
                <w:szCs w:val="20"/>
              </w:rPr>
            </w:pPr>
          </w:p>
        </w:tc>
        <w:tc>
          <w:tcPr>
            <w:tcW w:w="2316" w:type="dxa"/>
            <w:vAlign w:val="center"/>
          </w:tcPr>
          <w:p w:rsidR="004A1424" w:rsidRPr="00CB2647" w:rsidRDefault="004A1424" w:rsidP="001A37CF">
            <w:pPr>
              <w:jc w:val="center"/>
              <w:cnfStyle w:val="100000000000"/>
              <w:rPr>
                <w:sz w:val="20"/>
                <w:szCs w:val="20"/>
              </w:rPr>
            </w:pPr>
            <w:r w:rsidRPr="00CB2647">
              <w:rPr>
                <w:sz w:val="20"/>
                <w:szCs w:val="20"/>
              </w:rPr>
              <w:t>Tek lü</w:t>
            </w:r>
            <w:r w:rsidR="005217ED" w:rsidRPr="00CB2647">
              <w:rPr>
                <w:sz w:val="20"/>
                <w:szCs w:val="20"/>
              </w:rPr>
              <w:t>men iğne grubu</w:t>
            </w:r>
            <w:r w:rsidR="00A006C1" w:rsidRPr="00CB2647">
              <w:rPr>
                <w:sz w:val="20"/>
                <w:szCs w:val="20"/>
              </w:rPr>
              <w:t xml:space="preserve"> (n</w:t>
            </w:r>
            <w:r w:rsidRPr="00CB2647">
              <w:rPr>
                <w:sz w:val="20"/>
                <w:szCs w:val="20"/>
              </w:rPr>
              <w:t>=40)</w:t>
            </w:r>
          </w:p>
        </w:tc>
        <w:tc>
          <w:tcPr>
            <w:tcW w:w="2078" w:type="dxa"/>
            <w:vAlign w:val="center"/>
          </w:tcPr>
          <w:p w:rsidR="004A1424" w:rsidRPr="00CB2647" w:rsidRDefault="00DC2502" w:rsidP="001A37CF">
            <w:pPr>
              <w:jc w:val="center"/>
              <w:cnfStyle w:val="100000000000"/>
              <w:rPr>
                <w:sz w:val="20"/>
                <w:szCs w:val="20"/>
              </w:rPr>
            </w:pPr>
            <w:r w:rsidRPr="00CB2647">
              <w:rPr>
                <w:sz w:val="20"/>
                <w:szCs w:val="20"/>
              </w:rPr>
              <w:t>Çif</w:t>
            </w:r>
            <w:r w:rsidR="005217ED" w:rsidRPr="00CB2647">
              <w:rPr>
                <w:sz w:val="20"/>
                <w:szCs w:val="20"/>
              </w:rPr>
              <w:t>t lümen iğne grubu</w:t>
            </w:r>
            <w:r w:rsidR="00A006C1" w:rsidRPr="00CB2647">
              <w:rPr>
                <w:sz w:val="20"/>
                <w:szCs w:val="20"/>
              </w:rPr>
              <w:t xml:space="preserve"> (n</w:t>
            </w:r>
            <w:r w:rsidRPr="00CB2647">
              <w:rPr>
                <w:sz w:val="20"/>
                <w:szCs w:val="20"/>
              </w:rPr>
              <w:t>=40)</w:t>
            </w:r>
          </w:p>
        </w:tc>
        <w:tc>
          <w:tcPr>
            <w:tcW w:w="850" w:type="dxa"/>
            <w:vAlign w:val="center"/>
          </w:tcPr>
          <w:p w:rsidR="004A1424" w:rsidRPr="00CB2647" w:rsidRDefault="004A1424" w:rsidP="001A37CF">
            <w:pPr>
              <w:jc w:val="center"/>
              <w:cnfStyle w:val="100000000000"/>
              <w:rPr>
                <w:sz w:val="20"/>
                <w:szCs w:val="20"/>
              </w:rPr>
            </w:pPr>
          </w:p>
        </w:tc>
      </w:tr>
      <w:tr w:rsidR="00DC2502" w:rsidRPr="00CB2647" w:rsidTr="001A37CF">
        <w:trPr>
          <w:cnfStyle w:val="000000100000"/>
        </w:trPr>
        <w:tc>
          <w:tcPr>
            <w:cnfStyle w:val="001000000000"/>
            <w:tcW w:w="3261" w:type="dxa"/>
            <w:tcBorders>
              <w:top w:val="none" w:sz="0" w:space="0" w:color="auto"/>
              <w:left w:val="none" w:sz="0" w:space="0" w:color="auto"/>
              <w:bottom w:val="none" w:sz="0" w:space="0" w:color="auto"/>
            </w:tcBorders>
            <w:vAlign w:val="center"/>
          </w:tcPr>
          <w:p w:rsidR="004A1424" w:rsidRPr="00CB2647" w:rsidRDefault="004A1424" w:rsidP="001A37CF">
            <w:pPr>
              <w:jc w:val="left"/>
              <w:rPr>
                <w:rFonts w:eastAsia="Calibri"/>
                <w:color w:val="000000"/>
                <w:sz w:val="20"/>
                <w:szCs w:val="20"/>
              </w:rPr>
            </w:pPr>
            <w:r w:rsidRPr="00CB2647">
              <w:rPr>
                <w:rFonts w:eastAsia="Calibri"/>
                <w:color w:val="000000"/>
                <w:sz w:val="20"/>
                <w:szCs w:val="20"/>
              </w:rPr>
              <w:t>Yaş</w:t>
            </w:r>
          </w:p>
        </w:tc>
        <w:tc>
          <w:tcPr>
            <w:tcW w:w="2316" w:type="dxa"/>
            <w:tcBorders>
              <w:top w:val="none" w:sz="0" w:space="0" w:color="auto"/>
              <w:bottom w:val="none" w:sz="0" w:space="0" w:color="auto"/>
            </w:tcBorders>
            <w:vAlign w:val="center"/>
          </w:tcPr>
          <w:p w:rsidR="004A1424" w:rsidRPr="00CB2647" w:rsidRDefault="004A1424" w:rsidP="001A37CF">
            <w:pPr>
              <w:jc w:val="center"/>
              <w:cnfStyle w:val="000000100000"/>
              <w:rPr>
                <w:sz w:val="20"/>
                <w:szCs w:val="20"/>
              </w:rPr>
            </w:pPr>
            <w:r w:rsidRPr="00CB2647">
              <w:rPr>
                <w:sz w:val="20"/>
                <w:szCs w:val="20"/>
              </w:rPr>
              <w:t>34</w:t>
            </w:r>
            <w:r w:rsidR="001A37CF" w:rsidRPr="00CB2647">
              <w:rPr>
                <w:sz w:val="20"/>
                <w:szCs w:val="20"/>
              </w:rPr>
              <w:t>,</w:t>
            </w:r>
            <w:r w:rsidRPr="00CB2647">
              <w:rPr>
                <w:sz w:val="20"/>
                <w:szCs w:val="20"/>
              </w:rPr>
              <w:t>3±5</w:t>
            </w:r>
            <w:r w:rsidR="001A37CF" w:rsidRPr="00CB2647">
              <w:rPr>
                <w:sz w:val="20"/>
                <w:szCs w:val="20"/>
              </w:rPr>
              <w:t>,</w:t>
            </w:r>
            <w:r w:rsidRPr="00CB2647">
              <w:rPr>
                <w:sz w:val="20"/>
                <w:szCs w:val="20"/>
              </w:rPr>
              <w:t>42</w:t>
            </w:r>
          </w:p>
        </w:tc>
        <w:tc>
          <w:tcPr>
            <w:tcW w:w="2078" w:type="dxa"/>
            <w:tcBorders>
              <w:top w:val="none" w:sz="0" w:space="0" w:color="auto"/>
              <w:bottom w:val="none" w:sz="0" w:space="0" w:color="auto"/>
            </w:tcBorders>
            <w:vAlign w:val="center"/>
          </w:tcPr>
          <w:p w:rsidR="004A1424" w:rsidRPr="00CB2647" w:rsidRDefault="004A1424" w:rsidP="001A37CF">
            <w:pPr>
              <w:jc w:val="center"/>
              <w:cnfStyle w:val="000000100000"/>
              <w:rPr>
                <w:sz w:val="20"/>
                <w:szCs w:val="20"/>
              </w:rPr>
            </w:pPr>
            <w:r w:rsidRPr="00CB2647">
              <w:rPr>
                <w:sz w:val="20"/>
                <w:szCs w:val="20"/>
              </w:rPr>
              <w:t>36</w:t>
            </w:r>
            <w:r w:rsidR="001A37CF" w:rsidRPr="00CB2647">
              <w:rPr>
                <w:sz w:val="20"/>
                <w:szCs w:val="20"/>
              </w:rPr>
              <w:t>,</w:t>
            </w:r>
            <w:r w:rsidRPr="00CB2647">
              <w:rPr>
                <w:sz w:val="20"/>
                <w:szCs w:val="20"/>
              </w:rPr>
              <w:t>22±3</w:t>
            </w:r>
            <w:r w:rsidR="001A37CF" w:rsidRPr="00CB2647">
              <w:rPr>
                <w:sz w:val="20"/>
                <w:szCs w:val="20"/>
              </w:rPr>
              <w:t>,</w:t>
            </w:r>
            <w:r w:rsidRPr="00CB2647">
              <w:rPr>
                <w:sz w:val="20"/>
                <w:szCs w:val="20"/>
              </w:rPr>
              <w:t>9</w:t>
            </w:r>
          </w:p>
        </w:tc>
        <w:tc>
          <w:tcPr>
            <w:tcW w:w="850" w:type="dxa"/>
            <w:tcBorders>
              <w:top w:val="none" w:sz="0" w:space="0" w:color="auto"/>
              <w:bottom w:val="none" w:sz="0" w:space="0" w:color="auto"/>
              <w:right w:val="none" w:sz="0" w:space="0" w:color="auto"/>
            </w:tcBorders>
            <w:vAlign w:val="center"/>
          </w:tcPr>
          <w:p w:rsidR="004A1424" w:rsidRPr="00CB2647" w:rsidRDefault="004A1424" w:rsidP="001A37CF">
            <w:pPr>
              <w:jc w:val="center"/>
              <w:cnfStyle w:val="000000100000"/>
              <w:rPr>
                <w:sz w:val="20"/>
                <w:szCs w:val="20"/>
              </w:rPr>
            </w:pPr>
            <w:r w:rsidRPr="00CB2647">
              <w:rPr>
                <w:sz w:val="20"/>
                <w:szCs w:val="20"/>
              </w:rPr>
              <w:t>0</w:t>
            </w:r>
            <w:r w:rsidR="001A37CF" w:rsidRPr="00CB2647">
              <w:rPr>
                <w:sz w:val="20"/>
                <w:szCs w:val="20"/>
              </w:rPr>
              <w:t>,</w:t>
            </w:r>
            <w:r w:rsidRPr="00CB2647">
              <w:rPr>
                <w:sz w:val="20"/>
                <w:szCs w:val="20"/>
              </w:rPr>
              <w:t>72</w:t>
            </w:r>
          </w:p>
        </w:tc>
      </w:tr>
      <w:tr w:rsidR="00DC2502" w:rsidRPr="00CB2647" w:rsidTr="001A37CF">
        <w:tc>
          <w:tcPr>
            <w:cnfStyle w:val="001000000000"/>
            <w:tcW w:w="3261" w:type="dxa"/>
            <w:vAlign w:val="center"/>
          </w:tcPr>
          <w:p w:rsidR="004A1424" w:rsidRPr="00CB2647" w:rsidRDefault="004A1424" w:rsidP="001A37CF">
            <w:pPr>
              <w:jc w:val="left"/>
              <w:rPr>
                <w:rFonts w:eastAsia="Calibri"/>
                <w:color w:val="000000"/>
                <w:sz w:val="20"/>
                <w:szCs w:val="20"/>
              </w:rPr>
            </w:pPr>
            <w:r w:rsidRPr="00CB2647">
              <w:rPr>
                <w:rFonts w:eastAsia="Calibri"/>
                <w:color w:val="000000"/>
                <w:sz w:val="20"/>
                <w:szCs w:val="20"/>
              </w:rPr>
              <w:t>BMI (kg/m2)</w:t>
            </w:r>
          </w:p>
        </w:tc>
        <w:tc>
          <w:tcPr>
            <w:tcW w:w="2316" w:type="dxa"/>
            <w:vAlign w:val="center"/>
          </w:tcPr>
          <w:p w:rsidR="004A1424" w:rsidRPr="00CB2647" w:rsidRDefault="004A1424" w:rsidP="001A37CF">
            <w:pPr>
              <w:jc w:val="center"/>
              <w:cnfStyle w:val="000000000000"/>
              <w:rPr>
                <w:sz w:val="20"/>
                <w:szCs w:val="20"/>
              </w:rPr>
            </w:pPr>
            <w:r w:rsidRPr="00CB2647">
              <w:rPr>
                <w:sz w:val="20"/>
                <w:szCs w:val="20"/>
              </w:rPr>
              <w:t>25</w:t>
            </w:r>
            <w:r w:rsidR="001A37CF" w:rsidRPr="00CB2647">
              <w:rPr>
                <w:sz w:val="20"/>
                <w:szCs w:val="20"/>
              </w:rPr>
              <w:t>,</w:t>
            </w:r>
            <w:r w:rsidRPr="00CB2647">
              <w:rPr>
                <w:sz w:val="20"/>
                <w:szCs w:val="20"/>
              </w:rPr>
              <w:t>2±0</w:t>
            </w:r>
            <w:r w:rsidR="001A37CF" w:rsidRPr="00CB2647">
              <w:rPr>
                <w:sz w:val="20"/>
                <w:szCs w:val="20"/>
              </w:rPr>
              <w:t>,</w:t>
            </w:r>
            <w:r w:rsidRPr="00CB2647">
              <w:rPr>
                <w:sz w:val="20"/>
                <w:szCs w:val="20"/>
              </w:rPr>
              <w:t>72</w:t>
            </w:r>
          </w:p>
        </w:tc>
        <w:tc>
          <w:tcPr>
            <w:tcW w:w="2078" w:type="dxa"/>
            <w:vAlign w:val="center"/>
          </w:tcPr>
          <w:p w:rsidR="004A1424" w:rsidRPr="00CB2647" w:rsidRDefault="004A1424" w:rsidP="001A37CF">
            <w:pPr>
              <w:jc w:val="center"/>
              <w:cnfStyle w:val="000000000000"/>
              <w:rPr>
                <w:sz w:val="20"/>
                <w:szCs w:val="20"/>
              </w:rPr>
            </w:pPr>
            <w:r w:rsidRPr="00CB2647">
              <w:rPr>
                <w:sz w:val="20"/>
                <w:szCs w:val="20"/>
              </w:rPr>
              <w:t>27</w:t>
            </w:r>
            <w:r w:rsidR="001A37CF" w:rsidRPr="00CB2647">
              <w:rPr>
                <w:sz w:val="20"/>
                <w:szCs w:val="20"/>
              </w:rPr>
              <w:t>,</w:t>
            </w:r>
            <w:r w:rsidRPr="00CB2647">
              <w:rPr>
                <w:sz w:val="20"/>
                <w:szCs w:val="20"/>
              </w:rPr>
              <w:t>01±1</w:t>
            </w:r>
            <w:r w:rsidR="001A37CF" w:rsidRPr="00CB2647">
              <w:rPr>
                <w:sz w:val="20"/>
                <w:szCs w:val="20"/>
              </w:rPr>
              <w:t>,</w:t>
            </w:r>
            <w:r w:rsidRPr="00CB2647">
              <w:rPr>
                <w:sz w:val="20"/>
                <w:szCs w:val="20"/>
              </w:rPr>
              <w:t>08</w:t>
            </w:r>
          </w:p>
        </w:tc>
        <w:tc>
          <w:tcPr>
            <w:tcW w:w="850" w:type="dxa"/>
            <w:vAlign w:val="center"/>
          </w:tcPr>
          <w:p w:rsidR="004A1424" w:rsidRPr="00CB2647" w:rsidRDefault="004A1424" w:rsidP="001A37CF">
            <w:pPr>
              <w:jc w:val="center"/>
              <w:cnfStyle w:val="000000000000"/>
              <w:rPr>
                <w:sz w:val="20"/>
                <w:szCs w:val="20"/>
              </w:rPr>
            </w:pPr>
            <w:r w:rsidRPr="00CB2647">
              <w:rPr>
                <w:sz w:val="20"/>
                <w:szCs w:val="20"/>
              </w:rPr>
              <w:t>0</w:t>
            </w:r>
            <w:r w:rsidR="001A37CF" w:rsidRPr="00CB2647">
              <w:rPr>
                <w:sz w:val="20"/>
                <w:szCs w:val="20"/>
              </w:rPr>
              <w:t>,</w:t>
            </w:r>
            <w:r w:rsidRPr="00CB2647">
              <w:rPr>
                <w:sz w:val="20"/>
                <w:szCs w:val="20"/>
              </w:rPr>
              <w:t>16</w:t>
            </w:r>
          </w:p>
        </w:tc>
      </w:tr>
      <w:tr w:rsidR="00DC2502" w:rsidRPr="00CB2647" w:rsidTr="001A37CF">
        <w:trPr>
          <w:cnfStyle w:val="000000100000"/>
        </w:trPr>
        <w:tc>
          <w:tcPr>
            <w:cnfStyle w:val="001000000000"/>
            <w:tcW w:w="3261" w:type="dxa"/>
            <w:tcBorders>
              <w:top w:val="none" w:sz="0" w:space="0" w:color="auto"/>
              <w:left w:val="none" w:sz="0" w:space="0" w:color="auto"/>
              <w:bottom w:val="none" w:sz="0" w:space="0" w:color="auto"/>
            </w:tcBorders>
            <w:vAlign w:val="center"/>
          </w:tcPr>
          <w:p w:rsidR="004A1424" w:rsidRPr="00CB2647" w:rsidRDefault="004A1424" w:rsidP="001A37CF">
            <w:pPr>
              <w:jc w:val="left"/>
              <w:rPr>
                <w:rFonts w:eastAsia="Calibri"/>
                <w:color w:val="000000"/>
                <w:sz w:val="20"/>
                <w:szCs w:val="20"/>
              </w:rPr>
            </w:pPr>
            <w:r w:rsidRPr="00CB2647">
              <w:rPr>
                <w:rFonts w:eastAsia="Calibri"/>
                <w:color w:val="000000"/>
                <w:sz w:val="20"/>
                <w:szCs w:val="20"/>
              </w:rPr>
              <w:t>İnfertilite süresi(yıl)</w:t>
            </w:r>
          </w:p>
        </w:tc>
        <w:tc>
          <w:tcPr>
            <w:tcW w:w="2316" w:type="dxa"/>
            <w:tcBorders>
              <w:top w:val="none" w:sz="0" w:space="0" w:color="auto"/>
              <w:bottom w:val="none" w:sz="0" w:space="0" w:color="auto"/>
            </w:tcBorders>
            <w:vAlign w:val="center"/>
          </w:tcPr>
          <w:p w:rsidR="004A1424" w:rsidRPr="00CB2647" w:rsidRDefault="004A1424" w:rsidP="001A37CF">
            <w:pPr>
              <w:jc w:val="center"/>
              <w:cnfStyle w:val="000000100000"/>
              <w:rPr>
                <w:sz w:val="20"/>
                <w:szCs w:val="20"/>
              </w:rPr>
            </w:pPr>
            <w:r w:rsidRPr="00CB2647">
              <w:rPr>
                <w:sz w:val="20"/>
                <w:szCs w:val="20"/>
              </w:rPr>
              <w:t>5</w:t>
            </w:r>
            <w:r w:rsidR="001A37CF" w:rsidRPr="00CB2647">
              <w:rPr>
                <w:sz w:val="20"/>
                <w:szCs w:val="20"/>
              </w:rPr>
              <w:t>,</w:t>
            </w:r>
            <w:r w:rsidRPr="00CB2647">
              <w:rPr>
                <w:sz w:val="20"/>
                <w:szCs w:val="20"/>
              </w:rPr>
              <w:t>2±2</w:t>
            </w:r>
            <w:r w:rsidR="001A37CF" w:rsidRPr="00CB2647">
              <w:rPr>
                <w:sz w:val="20"/>
                <w:szCs w:val="20"/>
              </w:rPr>
              <w:t>,</w:t>
            </w:r>
            <w:r w:rsidRPr="00CB2647">
              <w:rPr>
                <w:sz w:val="20"/>
                <w:szCs w:val="20"/>
              </w:rPr>
              <w:t>970</w:t>
            </w:r>
          </w:p>
        </w:tc>
        <w:tc>
          <w:tcPr>
            <w:tcW w:w="2078" w:type="dxa"/>
            <w:tcBorders>
              <w:top w:val="none" w:sz="0" w:space="0" w:color="auto"/>
              <w:bottom w:val="none" w:sz="0" w:space="0" w:color="auto"/>
            </w:tcBorders>
            <w:vAlign w:val="center"/>
          </w:tcPr>
          <w:p w:rsidR="004A1424" w:rsidRPr="00CB2647" w:rsidRDefault="004A1424" w:rsidP="001A37CF">
            <w:pPr>
              <w:jc w:val="center"/>
              <w:cnfStyle w:val="000000100000"/>
              <w:rPr>
                <w:sz w:val="20"/>
                <w:szCs w:val="20"/>
              </w:rPr>
            </w:pPr>
            <w:r w:rsidRPr="00CB2647">
              <w:rPr>
                <w:sz w:val="20"/>
                <w:szCs w:val="20"/>
              </w:rPr>
              <w:t>5</w:t>
            </w:r>
            <w:r w:rsidR="001A37CF" w:rsidRPr="00CB2647">
              <w:rPr>
                <w:sz w:val="20"/>
                <w:szCs w:val="20"/>
              </w:rPr>
              <w:t>,</w:t>
            </w:r>
            <w:r w:rsidRPr="00CB2647">
              <w:rPr>
                <w:sz w:val="20"/>
                <w:szCs w:val="20"/>
              </w:rPr>
              <w:t>51±3</w:t>
            </w:r>
            <w:r w:rsidR="001A37CF" w:rsidRPr="00CB2647">
              <w:rPr>
                <w:sz w:val="20"/>
                <w:szCs w:val="20"/>
              </w:rPr>
              <w:t>,</w:t>
            </w:r>
            <w:r w:rsidRPr="00CB2647">
              <w:rPr>
                <w:sz w:val="20"/>
                <w:szCs w:val="20"/>
              </w:rPr>
              <w:t>33</w:t>
            </w:r>
          </w:p>
        </w:tc>
        <w:tc>
          <w:tcPr>
            <w:tcW w:w="850" w:type="dxa"/>
            <w:tcBorders>
              <w:top w:val="none" w:sz="0" w:space="0" w:color="auto"/>
              <w:bottom w:val="none" w:sz="0" w:space="0" w:color="auto"/>
              <w:right w:val="none" w:sz="0" w:space="0" w:color="auto"/>
            </w:tcBorders>
            <w:vAlign w:val="center"/>
          </w:tcPr>
          <w:p w:rsidR="004A1424" w:rsidRPr="00CB2647" w:rsidRDefault="004A1424" w:rsidP="001A37CF">
            <w:pPr>
              <w:jc w:val="center"/>
              <w:cnfStyle w:val="000000100000"/>
              <w:rPr>
                <w:sz w:val="20"/>
                <w:szCs w:val="20"/>
              </w:rPr>
            </w:pPr>
            <w:r w:rsidRPr="00CB2647">
              <w:rPr>
                <w:sz w:val="20"/>
                <w:szCs w:val="20"/>
              </w:rPr>
              <w:t>0</w:t>
            </w:r>
            <w:r w:rsidR="001A37CF" w:rsidRPr="00CB2647">
              <w:rPr>
                <w:sz w:val="20"/>
                <w:szCs w:val="20"/>
              </w:rPr>
              <w:t>,</w:t>
            </w:r>
            <w:r w:rsidRPr="00CB2647">
              <w:rPr>
                <w:sz w:val="20"/>
                <w:szCs w:val="20"/>
              </w:rPr>
              <w:t>65</w:t>
            </w:r>
          </w:p>
        </w:tc>
      </w:tr>
      <w:tr w:rsidR="00DC2502" w:rsidRPr="00CB2647" w:rsidTr="001A37CF">
        <w:tc>
          <w:tcPr>
            <w:cnfStyle w:val="001000000000"/>
            <w:tcW w:w="3261" w:type="dxa"/>
            <w:vAlign w:val="center"/>
          </w:tcPr>
          <w:p w:rsidR="004A1424" w:rsidRPr="00CB2647" w:rsidRDefault="004A1424" w:rsidP="001A37CF">
            <w:pPr>
              <w:jc w:val="left"/>
              <w:rPr>
                <w:rFonts w:eastAsia="Calibri"/>
                <w:color w:val="000000"/>
                <w:sz w:val="20"/>
                <w:szCs w:val="20"/>
              </w:rPr>
            </w:pPr>
            <w:r w:rsidRPr="00CB2647">
              <w:rPr>
                <w:rFonts w:eastAsia="Calibri"/>
                <w:color w:val="000000"/>
                <w:sz w:val="20"/>
                <w:szCs w:val="20"/>
              </w:rPr>
              <w:t>AMH (m IU/L)</w:t>
            </w:r>
          </w:p>
        </w:tc>
        <w:tc>
          <w:tcPr>
            <w:tcW w:w="2316" w:type="dxa"/>
            <w:vAlign w:val="center"/>
          </w:tcPr>
          <w:p w:rsidR="004A1424" w:rsidRPr="00CB2647" w:rsidRDefault="004A1424" w:rsidP="001A37CF">
            <w:pPr>
              <w:jc w:val="center"/>
              <w:cnfStyle w:val="000000000000"/>
              <w:rPr>
                <w:sz w:val="20"/>
                <w:szCs w:val="20"/>
              </w:rPr>
            </w:pPr>
            <w:r w:rsidRPr="00CB2647">
              <w:rPr>
                <w:sz w:val="20"/>
                <w:szCs w:val="20"/>
              </w:rPr>
              <w:t>0</w:t>
            </w:r>
            <w:r w:rsidR="001A37CF" w:rsidRPr="00CB2647">
              <w:rPr>
                <w:sz w:val="20"/>
                <w:szCs w:val="20"/>
              </w:rPr>
              <w:t>,</w:t>
            </w:r>
            <w:r w:rsidRPr="00CB2647">
              <w:rPr>
                <w:sz w:val="20"/>
                <w:szCs w:val="20"/>
              </w:rPr>
              <w:t>63±0</w:t>
            </w:r>
            <w:r w:rsidR="001A37CF" w:rsidRPr="00CB2647">
              <w:rPr>
                <w:sz w:val="20"/>
                <w:szCs w:val="20"/>
              </w:rPr>
              <w:t>,</w:t>
            </w:r>
            <w:r w:rsidRPr="00CB2647">
              <w:rPr>
                <w:sz w:val="20"/>
                <w:szCs w:val="20"/>
              </w:rPr>
              <w:t>11</w:t>
            </w:r>
          </w:p>
        </w:tc>
        <w:tc>
          <w:tcPr>
            <w:tcW w:w="2078" w:type="dxa"/>
            <w:vAlign w:val="center"/>
          </w:tcPr>
          <w:p w:rsidR="004A1424" w:rsidRPr="00CB2647" w:rsidRDefault="004A1424" w:rsidP="001A37CF">
            <w:pPr>
              <w:jc w:val="center"/>
              <w:cnfStyle w:val="000000000000"/>
              <w:rPr>
                <w:sz w:val="20"/>
                <w:szCs w:val="20"/>
              </w:rPr>
            </w:pPr>
            <w:r w:rsidRPr="00CB2647">
              <w:rPr>
                <w:sz w:val="20"/>
                <w:szCs w:val="20"/>
              </w:rPr>
              <w:t>0</w:t>
            </w:r>
            <w:r w:rsidR="001A37CF" w:rsidRPr="00CB2647">
              <w:rPr>
                <w:sz w:val="20"/>
                <w:szCs w:val="20"/>
              </w:rPr>
              <w:t>,</w:t>
            </w:r>
            <w:r w:rsidRPr="00CB2647">
              <w:rPr>
                <w:sz w:val="20"/>
                <w:szCs w:val="20"/>
              </w:rPr>
              <w:t>61±0</w:t>
            </w:r>
            <w:r w:rsidR="001A37CF" w:rsidRPr="00CB2647">
              <w:rPr>
                <w:sz w:val="20"/>
                <w:szCs w:val="20"/>
              </w:rPr>
              <w:t>,</w:t>
            </w:r>
            <w:r w:rsidRPr="00CB2647">
              <w:rPr>
                <w:sz w:val="20"/>
                <w:szCs w:val="20"/>
              </w:rPr>
              <w:t>08</w:t>
            </w:r>
          </w:p>
        </w:tc>
        <w:tc>
          <w:tcPr>
            <w:tcW w:w="850" w:type="dxa"/>
            <w:vAlign w:val="center"/>
          </w:tcPr>
          <w:p w:rsidR="004A1424" w:rsidRPr="00CB2647" w:rsidRDefault="004A1424" w:rsidP="001A37CF">
            <w:pPr>
              <w:jc w:val="center"/>
              <w:cnfStyle w:val="000000000000"/>
              <w:rPr>
                <w:sz w:val="20"/>
                <w:szCs w:val="20"/>
              </w:rPr>
            </w:pPr>
            <w:r w:rsidRPr="00CB2647">
              <w:rPr>
                <w:sz w:val="20"/>
                <w:szCs w:val="20"/>
              </w:rPr>
              <w:t>0</w:t>
            </w:r>
            <w:r w:rsidR="001A37CF" w:rsidRPr="00CB2647">
              <w:rPr>
                <w:sz w:val="20"/>
                <w:szCs w:val="20"/>
              </w:rPr>
              <w:t>,</w:t>
            </w:r>
            <w:r w:rsidRPr="00CB2647">
              <w:rPr>
                <w:sz w:val="20"/>
                <w:szCs w:val="20"/>
              </w:rPr>
              <w:t>88</w:t>
            </w:r>
          </w:p>
        </w:tc>
      </w:tr>
      <w:tr w:rsidR="00DC2502" w:rsidRPr="00CB2647" w:rsidTr="001A37CF">
        <w:trPr>
          <w:cnfStyle w:val="000000100000"/>
        </w:trPr>
        <w:tc>
          <w:tcPr>
            <w:cnfStyle w:val="001000000000"/>
            <w:tcW w:w="3261" w:type="dxa"/>
            <w:tcBorders>
              <w:top w:val="none" w:sz="0" w:space="0" w:color="auto"/>
              <w:left w:val="none" w:sz="0" w:space="0" w:color="auto"/>
              <w:bottom w:val="none" w:sz="0" w:space="0" w:color="auto"/>
            </w:tcBorders>
            <w:vAlign w:val="center"/>
          </w:tcPr>
          <w:p w:rsidR="004A1424" w:rsidRPr="00CB2647" w:rsidRDefault="004A1424" w:rsidP="001A37CF">
            <w:pPr>
              <w:jc w:val="left"/>
              <w:rPr>
                <w:rFonts w:eastAsia="Calibri"/>
                <w:color w:val="000000"/>
                <w:sz w:val="20"/>
                <w:szCs w:val="20"/>
              </w:rPr>
            </w:pPr>
            <w:r w:rsidRPr="00CB2647">
              <w:rPr>
                <w:rFonts w:eastAsia="Calibri"/>
                <w:color w:val="000000"/>
                <w:sz w:val="20"/>
                <w:szCs w:val="20"/>
              </w:rPr>
              <w:t>Follikül çapı &gt;</w:t>
            </w:r>
            <w:smartTag w:uri="urn:schemas-microsoft-com:office:smarttags" w:element="metricconverter">
              <w:smartTagPr>
                <w:attr w:name="ProductID" w:val="14 mm"/>
              </w:smartTagPr>
              <w:r w:rsidRPr="00CB2647">
                <w:rPr>
                  <w:rFonts w:eastAsia="Calibri"/>
                  <w:color w:val="000000"/>
                  <w:sz w:val="20"/>
                  <w:szCs w:val="20"/>
                </w:rPr>
                <w:t>14 mm</w:t>
              </w:r>
            </w:smartTag>
          </w:p>
        </w:tc>
        <w:tc>
          <w:tcPr>
            <w:tcW w:w="2316" w:type="dxa"/>
            <w:tcBorders>
              <w:top w:val="none" w:sz="0" w:space="0" w:color="auto"/>
              <w:bottom w:val="none" w:sz="0" w:space="0" w:color="auto"/>
            </w:tcBorders>
            <w:vAlign w:val="center"/>
          </w:tcPr>
          <w:p w:rsidR="004A1424" w:rsidRPr="00CB2647" w:rsidRDefault="004A1424" w:rsidP="001A37CF">
            <w:pPr>
              <w:jc w:val="center"/>
              <w:cnfStyle w:val="000000100000"/>
              <w:rPr>
                <w:sz w:val="20"/>
                <w:szCs w:val="20"/>
              </w:rPr>
            </w:pPr>
            <w:r w:rsidRPr="00CB2647">
              <w:rPr>
                <w:sz w:val="20"/>
                <w:szCs w:val="20"/>
              </w:rPr>
              <w:t>3</w:t>
            </w:r>
            <w:r w:rsidR="001A37CF" w:rsidRPr="00CB2647">
              <w:rPr>
                <w:sz w:val="20"/>
                <w:szCs w:val="20"/>
              </w:rPr>
              <w:t>,</w:t>
            </w:r>
            <w:r w:rsidRPr="00CB2647">
              <w:rPr>
                <w:sz w:val="20"/>
                <w:szCs w:val="20"/>
              </w:rPr>
              <w:t>35±0</w:t>
            </w:r>
            <w:r w:rsidR="001A37CF" w:rsidRPr="00CB2647">
              <w:rPr>
                <w:sz w:val="20"/>
                <w:szCs w:val="20"/>
              </w:rPr>
              <w:t>,</w:t>
            </w:r>
            <w:r w:rsidRPr="00CB2647">
              <w:rPr>
                <w:sz w:val="20"/>
                <w:szCs w:val="20"/>
              </w:rPr>
              <w:t>15</w:t>
            </w:r>
          </w:p>
        </w:tc>
        <w:tc>
          <w:tcPr>
            <w:tcW w:w="2078" w:type="dxa"/>
            <w:tcBorders>
              <w:top w:val="none" w:sz="0" w:space="0" w:color="auto"/>
              <w:bottom w:val="none" w:sz="0" w:space="0" w:color="auto"/>
            </w:tcBorders>
            <w:vAlign w:val="center"/>
          </w:tcPr>
          <w:p w:rsidR="004A1424" w:rsidRPr="00CB2647" w:rsidRDefault="004A1424" w:rsidP="001A37CF">
            <w:pPr>
              <w:jc w:val="center"/>
              <w:cnfStyle w:val="000000100000"/>
              <w:rPr>
                <w:sz w:val="20"/>
                <w:szCs w:val="20"/>
              </w:rPr>
            </w:pPr>
            <w:r w:rsidRPr="00CB2647">
              <w:rPr>
                <w:sz w:val="20"/>
                <w:szCs w:val="20"/>
              </w:rPr>
              <w:t>3</w:t>
            </w:r>
            <w:r w:rsidR="001A37CF" w:rsidRPr="00CB2647">
              <w:rPr>
                <w:sz w:val="20"/>
                <w:szCs w:val="20"/>
              </w:rPr>
              <w:t>,</w:t>
            </w:r>
            <w:r w:rsidRPr="00CB2647">
              <w:rPr>
                <w:sz w:val="20"/>
                <w:szCs w:val="20"/>
              </w:rPr>
              <w:t>07±0</w:t>
            </w:r>
            <w:r w:rsidR="001A37CF" w:rsidRPr="00CB2647">
              <w:rPr>
                <w:sz w:val="20"/>
                <w:szCs w:val="20"/>
              </w:rPr>
              <w:t>,</w:t>
            </w:r>
            <w:r w:rsidRPr="00CB2647">
              <w:rPr>
                <w:sz w:val="20"/>
                <w:szCs w:val="20"/>
              </w:rPr>
              <w:t>13</w:t>
            </w:r>
          </w:p>
        </w:tc>
        <w:tc>
          <w:tcPr>
            <w:tcW w:w="850" w:type="dxa"/>
            <w:tcBorders>
              <w:top w:val="none" w:sz="0" w:space="0" w:color="auto"/>
              <w:bottom w:val="none" w:sz="0" w:space="0" w:color="auto"/>
              <w:right w:val="none" w:sz="0" w:space="0" w:color="auto"/>
            </w:tcBorders>
            <w:vAlign w:val="center"/>
          </w:tcPr>
          <w:p w:rsidR="004A1424" w:rsidRPr="00CB2647" w:rsidRDefault="004A1424" w:rsidP="001A37CF">
            <w:pPr>
              <w:jc w:val="center"/>
              <w:cnfStyle w:val="000000100000"/>
              <w:rPr>
                <w:sz w:val="20"/>
                <w:szCs w:val="20"/>
              </w:rPr>
            </w:pPr>
            <w:r w:rsidRPr="00CB2647">
              <w:rPr>
                <w:sz w:val="20"/>
                <w:szCs w:val="20"/>
              </w:rPr>
              <w:t>0</w:t>
            </w:r>
            <w:r w:rsidR="001A37CF" w:rsidRPr="00CB2647">
              <w:rPr>
                <w:sz w:val="20"/>
                <w:szCs w:val="20"/>
              </w:rPr>
              <w:t>,</w:t>
            </w:r>
            <w:r w:rsidRPr="00CB2647">
              <w:rPr>
                <w:sz w:val="20"/>
                <w:szCs w:val="20"/>
              </w:rPr>
              <w:t>18</w:t>
            </w:r>
          </w:p>
        </w:tc>
      </w:tr>
      <w:tr w:rsidR="00DC2502" w:rsidRPr="00CB2647" w:rsidTr="001A37CF">
        <w:tc>
          <w:tcPr>
            <w:cnfStyle w:val="001000000000"/>
            <w:tcW w:w="3261" w:type="dxa"/>
            <w:vAlign w:val="center"/>
          </w:tcPr>
          <w:p w:rsidR="004A1424" w:rsidRPr="00CB2647" w:rsidRDefault="004A1424" w:rsidP="001A37CF">
            <w:pPr>
              <w:jc w:val="left"/>
              <w:rPr>
                <w:rFonts w:eastAsia="Calibri"/>
                <w:color w:val="000000"/>
                <w:sz w:val="20"/>
                <w:szCs w:val="20"/>
              </w:rPr>
            </w:pPr>
            <w:r w:rsidRPr="00CB2647">
              <w:rPr>
                <w:sz w:val="20"/>
                <w:szCs w:val="20"/>
              </w:rPr>
              <w:t xml:space="preserve">hCG gününde </w:t>
            </w:r>
            <w:r w:rsidRPr="00CB2647">
              <w:rPr>
                <w:rFonts w:eastAsia="Calibri"/>
                <w:color w:val="000000"/>
                <w:sz w:val="20"/>
                <w:szCs w:val="20"/>
              </w:rPr>
              <w:t>E2(pg/mL)</w:t>
            </w:r>
            <w:r w:rsidRPr="00CB2647">
              <w:rPr>
                <w:sz w:val="20"/>
                <w:szCs w:val="20"/>
              </w:rPr>
              <w:t xml:space="preserve"> değeri</w:t>
            </w:r>
          </w:p>
        </w:tc>
        <w:tc>
          <w:tcPr>
            <w:tcW w:w="2316" w:type="dxa"/>
            <w:vAlign w:val="center"/>
          </w:tcPr>
          <w:p w:rsidR="004A1424" w:rsidRPr="00CB2647" w:rsidRDefault="004A1424" w:rsidP="001A37CF">
            <w:pPr>
              <w:jc w:val="center"/>
              <w:cnfStyle w:val="000000000000"/>
              <w:rPr>
                <w:sz w:val="20"/>
                <w:szCs w:val="20"/>
              </w:rPr>
            </w:pPr>
            <w:r w:rsidRPr="00CB2647">
              <w:rPr>
                <w:sz w:val="20"/>
                <w:szCs w:val="20"/>
              </w:rPr>
              <w:t>528</w:t>
            </w:r>
            <w:r w:rsidR="001A37CF" w:rsidRPr="00CB2647">
              <w:rPr>
                <w:sz w:val="20"/>
                <w:szCs w:val="20"/>
              </w:rPr>
              <w:t>,</w:t>
            </w:r>
            <w:r w:rsidRPr="00CB2647">
              <w:rPr>
                <w:sz w:val="20"/>
                <w:szCs w:val="20"/>
              </w:rPr>
              <w:t>82±54</w:t>
            </w:r>
            <w:r w:rsidR="001A37CF" w:rsidRPr="00CB2647">
              <w:rPr>
                <w:sz w:val="20"/>
                <w:szCs w:val="20"/>
              </w:rPr>
              <w:t>,</w:t>
            </w:r>
            <w:r w:rsidRPr="00CB2647">
              <w:rPr>
                <w:sz w:val="20"/>
                <w:szCs w:val="20"/>
              </w:rPr>
              <w:t>85</w:t>
            </w:r>
          </w:p>
        </w:tc>
        <w:tc>
          <w:tcPr>
            <w:tcW w:w="2078" w:type="dxa"/>
            <w:vAlign w:val="center"/>
          </w:tcPr>
          <w:p w:rsidR="004A1424" w:rsidRPr="00CB2647" w:rsidRDefault="004A1424" w:rsidP="001A37CF">
            <w:pPr>
              <w:jc w:val="center"/>
              <w:cnfStyle w:val="000000000000"/>
              <w:rPr>
                <w:sz w:val="20"/>
                <w:szCs w:val="20"/>
              </w:rPr>
            </w:pPr>
            <w:r w:rsidRPr="00CB2647">
              <w:rPr>
                <w:sz w:val="20"/>
                <w:szCs w:val="20"/>
              </w:rPr>
              <w:t>476</w:t>
            </w:r>
            <w:r w:rsidR="001A37CF" w:rsidRPr="00CB2647">
              <w:rPr>
                <w:sz w:val="20"/>
                <w:szCs w:val="20"/>
              </w:rPr>
              <w:t>,</w:t>
            </w:r>
            <w:r w:rsidRPr="00CB2647">
              <w:rPr>
                <w:sz w:val="20"/>
                <w:szCs w:val="20"/>
              </w:rPr>
              <w:t>48±49</w:t>
            </w:r>
            <w:r w:rsidR="001A37CF" w:rsidRPr="00CB2647">
              <w:rPr>
                <w:sz w:val="20"/>
                <w:szCs w:val="20"/>
              </w:rPr>
              <w:t>,</w:t>
            </w:r>
            <w:r w:rsidRPr="00CB2647">
              <w:rPr>
                <w:sz w:val="20"/>
                <w:szCs w:val="20"/>
              </w:rPr>
              <w:t>91</w:t>
            </w:r>
          </w:p>
        </w:tc>
        <w:tc>
          <w:tcPr>
            <w:tcW w:w="850" w:type="dxa"/>
            <w:vAlign w:val="center"/>
          </w:tcPr>
          <w:p w:rsidR="004A1424" w:rsidRPr="00CB2647" w:rsidRDefault="004A1424" w:rsidP="001A37CF">
            <w:pPr>
              <w:jc w:val="center"/>
              <w:cnfStyle w:val="000000000000"/>
              <w:rPr>
                <w:sz w:val="20"/>
                <w:szCs w:val="20"/>
              </w:rPr>
            </w:pPr>
            <w:r w:rsidRPr="00CB2647">
              <w:rPr>
                <w:sz w:val="20"/>
                <w:szCs w:val="20"/>
              </w:rPr>
              <w:t>0</w:t>
            </w:r>
            <w:r w:rsidR="001A37CF" w:rsidRPr="00CB2647">
              <w:rPr>
                <w:sz w:val="20"/>
                <w:szCs w:val="20"/>
              </w:rPr>
              <w:t>,</w:t>
            </w:r>
            <w:r w:rsidRPr="00CB2647">
              <w:rPr>
                <w:sz w:val="20"/>
                <w:szCs w:val="20"/>
              </w:rPr>
              <w:t>48</w:t>
            </w:r>
          </w:p>
        </w:tc>
      </w:tr>
      <w:tr w:rsidR="00DC2502" w:rsidRPr="00CB2647" w:rsidTr="001A37CF">
        <w:trPr>
          <w:cnfStyle w:val="000000100000"/>
        </w:trPr>
        <w:tc>
          <w:tcPr>
            <w:cnfStyle w:val="001000000000"/>
            <w:tcW w:w="3261" w:type="dxa"/>
            <w:tcBorders>
              <w:top w:val="none" w:sz="0" w:space="0" w:color="auto"/>
              <w:left w:val="none" w:sz="0" w:space="0" w:color="auto"/>
              <w:bottom w:val="none" w:sz="0" w:space="0" w:color="auto"/>
            </w:tcBorders>
            <w:vAlign w:val="center"/>
          </w:tcPr>
          <w:p w:rsidR="004A1424" w:rsidRPr="00CB2647" w:rsidRDefault="00FC7CE4" w:rsidP="001A37CF">
            <w:pPr>
              <w:jc w:val="left"/>
              <w:rPr>
                <w:rFonts w:eastAsia="Calibri"/>
                <w:color w:val="000000"/>
                <w:sz w:val="20"/>
                <w:szCs w:val="20"/>
              </w:rPr>
            </w:pPr>
            <w:r w:rsidRPr="00CB2647">
              <w:rPr>
                <w:rFonts w:eastAsia="Calibri"/>
                <w:color w:val="000000"/>
                <w:sz w:val="20"/>
                <w:szCs w:val="20"/>
              </w:rPr>
              <w:t xml:space="preserve">Endometrial </w:t>
            </w:r>
            <w:r w:rsidR="004A1424" w:rsidRPr="00CB2647">
              <w:rPr>
                <w:rFonts w:eastAsia="Calibri"/>
                <w:color w:val="000000"/>
                <w:sz w:val="20"/>
                <w:szCs w:val="20"/>
              </w:rPr>
              <w:t>kalınlık (mm)</w:t>
            </w:r>
          </w:p>
        </w:tc>
        <w:tc>
          <w:tcPr>
            <w:tcW w:w="2316" w:type="dxa"/>
            <w:tcBorders>
              <w:top w:val="none" w:sz="0" w:space="0" w:color="auto"/>
              <w:bottom w:val="none" w:sz="0" w:space="0" w:color="auto"/>
            </w:tcBorders>
            <w:vAlign w:val="center"/>
          </w:tcPr>
          <w:p w:rsidR="004A1424" w:rsidRPr="00CB2647" w:rsidRDefault="004A1424" w:rsidP="001A37CF">
            <w:pPr>
              <w:jc w:val="center"/>
              <w:cnfStyle w:val="000000100000"/>
              <w:rPr>
                <w:sz w:val="20"/>
                <w:szCs w:val="20"/>
              </w:rPr>
            </w:pPr>
            <w:r w:rsidRPr="00CB2647">
              <w:rPr>
                <w:sz w:val="20"/>
                <w:szCs w:val="20"/>
              </w:rPr>
              <w:t>9</w:t>
            </w:r>
            <w:r w:rsidR="001A37CF" w:rsidRPr="00CB2647">
              <w:rPr>
                <w:sz w:val="20"/>
                <w:szCs w:val="20"/>
              </w:rPr>
              <w:t>,</w:t>
            </w:r>
            <w:r w:rsidRPr="00CB2647">
              <w:rPr>
                <w:sz w:val="20"/>
                <w:szCs w:val="20"/>
              </w:rPr>
              <w:t>96±0</w:t>
            </w:r>
            <w:r w:rsidR="001A37CF" w:rsidRPr="00CB2647">
              <w:rPr>
                <w:sz w:val="20"/>
                <w:szCs w:val="20"/>
              </w:rPr>
              <w:t>,</w:t>
            </w:r>
            <w:r w:rsidRPr="00CB2647">
              <w:rPr>
                <w:sz w:val="20"/>
                <w:szCs w:val="20"/>
              </w:rPr>
              <w:t>31</w:t>
            </w:r>
          </w:p>
        </w:tc>
        <w:tc>
          <w:tcPr>
            <w:tcW w:w="2078" w:type="dxa"/>
            <w:tcBorders>
              <w:top w:val="none" w:sz="0" w:space="0" w:color="auto"/>
              <w:bottom w:val="none" w:sz="0" w:space="0" w:color="auto"/>
            </w:tcBorders>
            <w:vAlign w:val="center"/>
          </w:tcPr>
          <w:p w:rsidR="004A1424" w:rsidRPr="00CB2647" w:rsidRDefault="004A1424" w:rsidP="001A37CF">
            <w:pPr>
              <w:jc w:val="center"/>
              <w:cnfStyle w:val="000000100000"/>
              <w:rPr>
                <w:sz w:val="20"/>
                <w:szCs w:val="20"/>
              </w:rPr>
            </w:pPr>
            <w:r w:rsidRPr="00CB2647">
              <w:rPr>
                <w:sz w:val="20"/>
                <w:szCs w:val="20"/>
              </w:rPr>
              <w:t>9</w:t>
            </w:r>
            <w:r w:rsidR="001A37CF" w:rsidRPr="00CB2647">
              <w:rPr>
                <w:sz w:val="20"/>
                <w:szCs w:val="20"/>
              </w:rPr>
              <w:t>,</w:t>
            </w:r>
            <w:r w:rsidRPr="00CB2647">
              <w:rPr>
                <w:sz w:val="20"/>
                <w:szCs w:val="20"/>
              </w:rPr>
              <w:t>38±0</w:t>
            </w:r>
            <w:r w:rsidR="001A37CF" w:rsidRPr="00CB2647">
              <w:rPr>
                <w:sz w:val="20"/>
                <w:szCs w:val="20"/>
              </w:rPr>
              <w:t>,</w:t>
            </w:r>
            <w:r w:rsidRPr="00CB2647">
              <w:rPr>
                <w:sz w:val="20"/>
                <w:szCs w:val="20"/>
              </w:rPr>
              <w:t>32</w:t>
            </w:r>
          </w:p>
        </w:tc>
        <w:tc>
          <w:tcPr>
            <w:tcW w:w="850" w:type="dxa"/>
            <w:tcBorders>
              <w:top w:val="none" w:sz="0" w:space="0" w:color="auto"/>
              <w:bottom w:val="none" w:sz="0" w:space="0" w:color="auto"/>
              <w:right w:val="none" w:sz="0" w:space="0" w:color="auto"/>
            </w:tcBorders>
            <w:vAlign w:val="center"/>
          </w:tcPr>
          <w:p w:rsidR="004A1424" w:rsidRPr="00CB2647" w:rsidRDefault="004A1424" w:rsidP="001A37CF">
            <w:pPr>
              <w:jc w:val="center"/>
              <w:cnfStyle w:val="000000100000"/>
              <w:rPr>
                <w:sz w:val="20"/>
                <w:szCs w:val="20"/>
              </w:rPr>
            </w:pPr>
            <w:r w:rsidRPr="00CB2647">
              <w:rPr>
                <w:sz w:val="20"/>
                <w:szCs w:val="20"/>
              </w:rPr>
              <w:t>0</w:t>
            </w:r>
            <w:r w:rsidR="001A37CF" w:rsidRPr="00CB2647">
              <w:rPr>
                <w:sz w:val="20"/>
                <w:szCs w:val="20"/>
              </w:rPr>
              <w:t>,</w:t>
            </w:r>
            <w:r w:rsidRPr="00CB2647">
              <w:rPr>
                <w:sz w:val="20"/>
                <w:szCs w:val="20"/>
              </w:rPr>
              <w:t>20</w:t>
            </w:r>
          </w:p>
        </w:tc>
      </w:tr>
      <w:tr w:rsidR="00DC2502" w:rsidRPr="00CB2647" w:rsidTr="001A37CF">
        <w:tc>
          <w:tcPr>
            <w:cnfStyle w:val="001000000000"/>
            <w:tcW w:w="3261" w:type="dxa"/>
            <w:vAlign w:val="center"/>
          </w:tcPr>
          <w:p w:rsidR="004A1424" w:rsidRPr="00CB2647" w:rsidRDefault="004A1424" w:rsidP="001A37CF">
            <w:pPr>
              <w:jc w:val="left"/>
              <w:rPr>
                <w:rFonts w:eastAsia="Calibri"/>
                <w:color w:val="000000"/>
                <w:sz w:val="20"/>
                <w:szCs w:val="20"/>
              </w:rPr>
            </w:pPr>
            <w:r w:rsidRPr="00CB2647">
              <w:rPr>
                <w:rFonts w:eastAsia="Calibri"/>
                <w:color w:val="000000"/>
                <w:sz w:val="20"/>
                <w:szCs w:val="20"/>
              </w:rPr>
              <w:t>Total FSH dozu (IU)</w:t>
            </w:r>
          </w:p>
        </w:tc>
        <w:tc>
          <w:tcPr>
            <w:tcW w:w="2316" w:type="dxa"/>
            <w:vAlign w:val="center"/>
          </w:tcPr>
          <w:p w:rsidR="004A1424" w:rsidRPr="00CB2647" w:rsidRDefault="004A1424" w:rsidP="001A37CF">
            <w:pPr>
              <w:jc w:val="center"/>
              <w:cnfStyle w:val="000000000000"/>
              <w:rPr>
                <w:sz w:val="20"/>
                <w:szCs w:val="20"/>
              </w:rPr>
            </w:pPr>
            <w:r w:rsidRPr="00CB2647">
              <w:rPr>
                <w:sz w:val="20"/>
                <w:szCs w:val="20"/>
              </w:rPr>
              <w:t>2636</w:t>
            </w:r>
            <w:r w:rsidR="001A37CF" w:rsidRPr="00CB2647">
              <w:rPr>
                <w:sz w:val="20"/>
                <w:szCs w:val="20"/>
              </w:rPr>
              <w:t>,</w:t>
            </w:r>
            <w:r w:rsidRPr="00CB2647">
              <w:rPr>
                <w:sz w:val="20"/>
                <w:szCs w:val="20"/>
              </w:rPr>
              <w:t>85±141</w:t>
            </w:r>
            <w:r w:rsidR="001A37CF" w:rsidRPr="00CB2647">
              <w:rPr>
                <w:sz w:val="20"/>
                <w:szCs w:val="20"/>
              </w:rPr>
              <w:t>,</w:t>
            </w:r>
            <w:r w:rsidRPr="00CB2647">
              <w:rPr>
                <w:sz w:val="20"/>
                <w:szCs w:val="20"/>
              </w:rPr>
              <w:t>03</w:t>
            </w:r>
          </w:p>
        </w:tc>
        <w:tc>
          <w:tcPr>
            <w:tcW w:w="2078" w:type="dxa"/>
            <w:vAlign w:val="center"/>
          </w:tcPr>
          <w:p w:rsidR="004A1424" w:rsidRPr="00CB2647" w:rsidRDefault="004A1424" w:rsidP="001A37CF">
            <w:pPr>
              <w:jc w:val="center"/>
              <w:cnfStyle w:val="000000000000"/>
              <w:rPr>
                <w:sz w:val="20"/>
                <w:szCs w:val="20"/>
              </w:rPr>
            </w:pPr>
            <w:r w:rsidRPr="00CB2647">
              <w:rPr>
                <w:sz w:val="20"/>
                <w:szCs w:val="20"/>
              </w:rPr>
              <w:t>2631</w:t>
            </w:r>
            <w:r w:rsidR="001A37CF" w:rsidRPr="00CB2647">
              <w:rPr>
                <w:sz w:val="20"/>
                <w:szCs w:val="20"/>
              </w:rPr>
              <w:t>,</w:t>
            </w:r>
            <w:r w:rsidRPr="00CB2647">
              <w:rPr>
                <w:sz w:val="20"/>
                <w:szCs w:val="20"/>
              </w:rPr>
              <w:t>25±179</w:t>
            </w:r>
            <w:r w:rsidR="001A37CF" w:rsidRPr="00CB2647">
              <w:rPr>
                <w:sz w:val="20"/>
                <w:szCs w:val="20"/>
              </w:rPr>
              <w:t>,</w:t>
            </w:r>
            <w:r w:rsidRPr="00CB2647">
              <w:rPr>
                <w:sz w:val="20"/>
                <w:szCs w:val="20"/>
              </w:rPr>
              <w:t>91</w:t>
            </w:r>
          </w:p>
        </w:tc>
        <w:tc>
          <w:tcPr>
            <w:tcW w:w="850" w:type="dxa"/>
            <w:vAlign w:val="center"/>
          </w:tcPr>
          <w:p w:rsidR="004A1424" w:rsidRPr="00CB2647" w:rsidRDefault="004A1424" w:rsidP="001A37CF">
            <w:pPr>
              <w:jc w:val="center"/>
              <w:cnfStyle w:val="000000000000"/>
              <w:rPr>
                <w:sz w:val="20"/>
                <w:szCs w:val="20"/>
              </w:rPr>
            </w:pPr>
            <w:r w:rsidRPr="00CB2647">
              <w:rPr>
                <w:sz w:val="20"/>
                <w:szCs w:val="20"/>
              </w:rPr>
              <w:t>0</w:t>
            </w:r>
            <w:r w:rsidR="001A37CF" w:rsidRPr="00CB2647">
              <w:rPr>
                <w:sz w:val="20"/>
                <w:szCs w:val="20"/>
              </w:rPr>
              <w:t>,</w:t>
            </w:r>
            <w:r w:rsidRPr="00CB2647">
              <w:rPr>
                <w:sz w:val="20"/>
                <w:szCs w:val="20"/>
              </w:rPr>
              <w:t>98</w:t>
            </w:r>
          </w:p>
        </w:tc>
      </w:tr>
      <w:tr w:rsidR="00DC2502" w:rsidRPr="00CB2647" w:rsidTr="001A37CF">
        <w:trPr>
          <w:cnfStyle w:val="000000100000"/>
        </w:trPr>
        <w:tc>
          <w:tcPr>
            <w:cnfStyle w:val="001000000000"/>
            <w:tcW w:w="3261" w:type="dxa"/>
            <w:tcBorders>
              <w:top w:val="none" w:sz="0" w:space="0" w:color="auto"/>
              <w:left w:val="none" w:sz="0" w:space="0" w:color="auto"/>
              <w:bottom w:val="none" w:sz="0" w:space="0" w:color="auto"/>
            </w:tcBorders>
            <w:vAlign w:val="center"/>
          </w:tcPr>
          <w:p w:rsidR="004A1424" w:rsidRPr="00CB2647" w:rsidRDefault="004A1424" w:rsidP="001A37CF">
            <w:pPr>
              <w:jc w:val="left"/>
              <w:rPr>
                <w:rFonts w:eastAsia="Calibri"/>
                <w:color w:val="000000"/>
                <w:sz w:val="20"/>
                <w:szCs w:val="20"/>
              </w:rPr>
            </w:pPr>
            <w:r w:rsidRPr="00CB2647">
              <w:rPr>
                <w:rFonts w:eastAsia="Calibri"/>
                <w:color w:val="000000"/>
                <w:sz w:val="20"/>
                <w:szCs w:val="20"/>
              </w:rPr>
              <w:t>GnRH Agonist Siklusu</w:t>
            </w:r>
          </w:p>
        </w:tc>
        <w:tc>
          <w:tcPr>
            <w:tcW w:w="2316" w:type="dxa"/>
            <w:tcBorders>
              <w:top w:val="none" w:sz="0" w:space="0" w:color="auto"/>
              <w:bottom w:val="none" w:sz="0" w:space="0" w:color="auto"/>
            </w:tcBorders>
            <w:vAlign w:val="center"/>
          </w:tcPr>
          <w:p w:rsidR="004A1424" w:rsidRPr="00CB2647" w:rsidRDefault="001A37CF" w:rsidP="001A37CF">
            <w:pPr>
              <w:jc w:val="center"/>
              <w:cnfStyle w:val="000000100000"/>
              <w:rPr>
                <w:sz w:val="20"/>
                <w:szCs w:val="20"/>
              </w:rPr>
            </w:pPr>
            <w:r w:rsidRPr="00CB2647">
              <w:rPr>
                <w:sz w:val="20"/>
                <w:szCs w:val="20"/>
              </w:rPr>
              <w:t xml:space="preserve">% </w:t>
            </w:r>
            <w:r w:rsidR="004A1424" w:rsidRPr="00CB2647">
              <w:rPr>
                <w:sz w:val="20"/>
                <w:szCs w:val="20"/>
              </w:rPr>
              <w:t>47</w:t>
            </w:r>
            <w:r w:rsidRPr="00CB2647">
              <w:rPr>
                <w:sz w:val="20"/>
                <w:szCs w:val="20"/>
              </w:rPr>
              <w:t>,</w:t>
            </w:r>
            <w:r w:rsidR="004A1424" w:rsidRPr="00CB2647">
              <w:rPr>
                <w:sz w:val="20"/>
                <w:szCs w:val="20"/>
              </w:rPr>
              <w:t>5 (19/40)</w:t>
            </w:r>
          </w:p>
        </w:tc>
        <w:tc>
          <w:tcPr>
            <w:tcW w:w="2078" w:type="dxa"/>
            <w:tcBorders>
              <w:top w:val="none" w:sz="0" w:space="0" w:color="auto"/>
              <w:bottom w:val="none" w:sz="0" w:space="0" w:color="auto"/>
            </w:tcBorders>
            <w:vAlign w:val="center"/>
          </w:tcPr>
          <w:p w:rsidR="004A1424" w:rsidRPr="00CB2647" w:rsidRDefault="001A37CF" w:rsidP="001A37CF">
            <w:pPr>
              <w:jc w:val="center"/>
              <w:cnfStyle w:val="000000100000"/>
              <w:rPr>
                <w:sz w:val="20"/>
                <w:szCs w:val="20"/>
              </w:rPr>
            </w:pPr>
            <w:r w:rsidRPr="00CB2647">
              <w:rPr>
                <w:sz w:val="20"/>
                <w:szCs w:val="20"/>
              </w:rPr>
              <w:t xml:space="preserve">% </w:t>
            </w:r>
            <w:r w:rsidR="004A1424" w:rsidRPr="00CB2647">
              <w:rPr>
                <w:sz w:val="20"/>
                <w:szCs w:val="20"/>
              </w:rPr>
              <w:t>57</w:t>
            </w:r>
            <w:r w:rsidRPr="00CB2647">
              <w:rPr>
                <w:sz w:val="20"/>
                <w:szCs w:val="20"/>
              </w:rPr>
              <w:t>,</w:t>
            </w:r>
            <w:r w:rsidR="004A1424" w:rsidRPr="00CB2647">
              <w:rPr>
                <w:sz w:val="20"/>
                <w:szCs w:val="20"/>
              </w:rPr>
              <w:t>5 (23/40)</w:t>
            </w:r>
          </w:p>
        </w:tc>
        <w:tc>
          <w:tcPr>
            <w:tcW w:w="850" w:type="dxa"/>
            <w:tcBorders>
              <w:top w:val="none" w:sz="0" w:space="0" w:color="auto"/>
              <w:bottom w:val="none" w:sz="0" w:space="0" w:color="auto"/>
              <w:right w:val="none" w:sz="0" w:space="0" w:color="auto"/>
            </w:tcBorders>
            <w:vAlign w:val="center"/>
          </w:tcPr>
          <w:p w:rsidR="004A1424" w:rsidRPr="00CB2647" w:rsidRDefault="004A1424" w:rsidP="001A37CF">
            <w:pPr>
              <w:jc w:val="center"/>
              <w:cnfStyle w:val="000000100000"/>
              <w:rPr>
                <w:sz w:val="20"/>
                <w:szCs w:val="20"/>
              </w:rPr>
            </w:pPr>
            <w:r w:rsidRPr="00CB2647">
              <w:rPr>
                <w:sz w:val="20"/>
                <w:szCs w:val="20"/>
              </w:rPr>
              <w:t>0</w:t>
            </w:r>
            <w:r w:rsidR="001A37CF" w:rsidRPr="00CB2647">
              <w:rPr>
                <w:sz w:val="20"/>
                <w:szCs w:val="20"/>
              </w:rPr>
              <w:t>,</w:t>
            </w:r>
            <w:r w:rsidRPr="00CB2647">
              <w:rPr>
                <w:sz w:val="20"/>
                <w:szCs w:val="20"/>
              </w:rPr>
              <w:t>58</w:t>
            </w:r>
          </w:p>
        </w:tc>
      </w:tr>
      <w:tr w:rsidR="00DC2502" w:rsidRPr="00CB2647" w:rsidTr="001A37CF">
        <w:tc>
          <w:tcPr>
            <w:cnfStyle w:val="001000000000"/>
            <w:tcW w:w="3261" w:type="dxa"/>
            <w:vAlign w:val="center"/>
          </w:tcPr>
          <w:p w:rsidR="004A1424" w:rsidRPr="00CB2647" w:rsidRDefault="004A1424" w:rsidP="001A37CF">
            <w:pPr>
              <w:jc w:val="left"/>
              <w:rPr>
                <w:rFonts w:eastAsia="Calibri"/>
                <w:color w:val="000000"/>
                <w:sz w:val="20"/>
                <w:szCs w:val="20"/>
              </w:rPr>
            </w:pPr>
            <w:r w:rsidRPr="00CB2647">
              <w:rPr>
                <w:rFonts w:eastAsia="Calibri"/>
                <w:color w:val="000000"/>
                <w:sz w:val="20"/>
                <w:szCs w:val="20"/>
              </w:rPr>
              <w:t>GnRH Antagonist Siklusu</w:t>
            </w:r>
          </w:p>
        </w:tc>
        <w:tc>
          <w:tcPr>
            <w:tcW w:w="2316" w:type="dxa"/>
            <w:vAlign w:val="center"/>
          </w:tcPr>
          <w:p w:rsidR="004A1424" w:rsidRPr="00CB2647" w:rsidRDefault="001A37CF" w:rsidP="001A37CF">
            <w:pPr>
              <w:jc w:val="center"/>
              <w:cnfStyle w:val="000000000000"/>
              <w:rPr>
                <w:sz w:val="20"/>
                <w:szCs w:val="20"/>
              </w:rPr>
            </w:pPr>
            <w:r w:rsidRPr="00CB2647">
              <w:rPr>
                <w:sz w:val="20"/>
                <w:szCs w:val="20"/>
              </w:rPr>
              <w:t xml:space="preserve">% </w:t>
            </w:r>
            <w:r w:rsidR="004A1424" w:rsidRPr="00CB2647">
              <w:rPr>
                <w:sz w:val="20"/>
                <w:szCs w:val="20"/>
              </w:rPr>
              <w:t>5 (2/40)</w:t>
            </w:r>
          </w:p>
        </w:tc>
        <w:tc>
          <w:tcPr>
            <w:tcW w:w="2078" w:type="dxa"/>
            <w:vAlign w:val="center"/>
          </w:tcPr>
          <w:p w:rsidR="004A1424" w:rsidRPr="00CB2647" w:rsidRDefault="001A37CF" w:rsidP="001A37CF">
            <w:pPr>
              <w:jc w:val="center"/>
              <w:cnfStyle w:val="000000000000"/>
              <w:rPr>
                <w:sz w:val="20"/>
                <w:szCs w:val="20"/>
              </w:rPr>
            </w:pPr>
            <w:r w:rsidRPr="00CB2647">
              <w:rPr>
                <w:sz w:val="20"/>
                <w:szCs w:val="20"/>
              </w:rPr>
              <w:t xml:space="preserve">% </w:t>
            </w:r>
            <w:r w:rsidR="004A1424" w:rsidRPr="00CB2647">
              <w:rPr>
                <w:sz w:val="20"/>
                <w:szCs w:val="20"/>
              </w:rPr>
              <w:t>5 (2/40)</w:t>
            </w:r>
          </w:p>
        </w:tc>
        <w:tc>
          <w:tcPr>
            <w:tcW w:w="850" w:type="dxa"/>
            <w:vAlign w:val="center"/>
          </w:tcPr>
          <w:p w:rsidR="004A1424" w:rsidRPr="00CB2647" w:rsidRDefault="004A1424" w:rsidP="001A37CF">
            <w:pPr>
              <w:jc w:val="center"/>
              <w:cnfStyle w:val="000000000000"/>
              <w:rPr>
                <w:sz w:val="20"/>
                <w:szCs w:val="20"/>
              </w:rPr>
            </w:pPr>
            <w:r w:rsidRPr="00CB2647">
              <w:rPr>
                <w:sz w:val="20"/>
                <w:szCs w:val="20"/>
              </w:rPr>
              <w:t>0</w:t>
            </w:r>
            <w:r w:rsidR="001A37CF" w:rsidRPr="00CB2647">
              <w:rPr>
                <w:sz w:val="20"/>
                <w:szCs w:val="20"/>
              </w:rPr>
              <w:t>,</w:t>
            </w:r>
            <w:r w:rsidRPr="00CB2647">
              <w:rPr>
                <w:sz w:val="20"/>
                <w:szCs w:val="20"/>
              </w:rPr>
              <w:t>9</w:t>
            </w:r>
          </w:p>
        </w:tc>
      </w:tr>
      <w:tr w:rsidR="00DC2502" w:rsidRPr="00CB2647" w:rsidTr="001A37CF">
        <w:trPr>
          <w:cnfStyle w:val="000000100000"/>
        </w:trPr>
        <w:tc>
          <w:tcPr>
            <w:cnfStyle w:val="001000000000"/>
            <w:tcW w:w="3261" w:type="dxa"/>
            <w:tcBorders>
              <w:top w:val="none" w:sz="0" w:space="0" w:color="auto"/>
              <w:left w:val="none" w:sz="0" w:space="0" w:color="auto"/>
              <w:bottom w:val="none" w:sz="0" w:space="0" w:color="auto"/>
            </w:tcBorders>
            <w:vAlign w:val="center"/>
          </w:tcPr>
          <w:p w:rsidR="004A1424" w:rsidRPr="00CB2647" w:rsidRDefault="004A1424" w:rsidP="001A37CF">
            <w:pPr>
              <w:jc w:val="left"/>
              <w:rPr>
                <w:rFonts w:eastAsia="Calibri"/>
                <w:color w:val="000000"/>
                <w:sz w:val="20"/>
                <w:szCs w:val="20"/>
              </w:rPr>
            </w:pPr>
            <w:r w:rsidRPr="00CB2647">
              <w:rPr>
                <w:rFonts w:eastAsia="Calibri"/>
                <w:color w:val="000000"/>
                <w:sz w:val="20"/>
                <w:szCs w:val="20"/>
              </w:rPr>
              <w:t>Letrozol+FSH/GnRH Antagonist Siklusu</w:t>
            </w:r>
          </w:p>
        </w:tc>
        <w:tc>
          <w:tcPr>
            <w:tcW w:w="2316" w:type="dxa"/>
            <w:tcBorders>
              <w:top w:val="none" w:sz="0" w:space="0" w:color="auto"/>
              <w:bottom w:val="none" w:sz="0" w:space="0" w:color="auto"/>
            </w:tcBorders>
            <w:vAlign w:val="center"/>
          </w:tcPr>
          <w:p w:rsidR="004A1424" w:rsidRPr="00CB2647" w:rsidRDefault="001A37CF" w:rsidP="001A37CF">
            <w:pPr>
              <w:jc w:val="center"/>
              <w:cnfStyle w:val="000000100000"/>
              <w:rPr>
                <w:sz w:val="20"/>
                <w:szCs w:val="20"/>
              </w:rPr>
            </w:pPr>
            <w:r w:rsidRPr="00CB2647">
              <w:rPr>
                <w:sz w:val="20"/>
                <w:szCs w:val="20"/>
              </w:rPr>
              <w:t xml:space="preserve">% </w:t>
            </w:r>
            <w:r w:rsidR="004A1424" w:rsidRPr="00CB2647">
              <w:rPr>
                <w:sz w:val="20"/>
                <w:szCs w:val="20"/>
              </w:rPr>
              <w:t>47</w:t>
            </w:r>
            <w:r w:rsidRPr="00CB2647">
              <w:rPr>
                <w:sz w:val="20"/>
                <w:szCs w:val="20"/>
              </w:rPr>
              <w:t>,</w:t>
            </w:r>
            <w:r w:rsidR="004A1424" w:rsidRPr="00CB2647">
              <w:rPr>
                <w:sz w:val="20"/>
                <w:szCs w:val="20"/>
              </w:rPr>
              <w:t>5 (19/40)</w:t>
            </w:r>
          </w:p>
        </w:tc>
        <w:tc>
          <w:tcPr>
            <w:tcW w:w="2078" w:type="dxa"/>
            <w:tcBorders>
              <w:top w:val="none" w:sz="0" w:space="0" w:color="auto"/>
              <w:bottom w:val="none" w:sz="0" w:space="0" w:color="auto"/>
            </w:tcBorders>
            <w:vAlign w:val="center"/>
          </w:tcPr>
          <w:p w:rsidR="004A1424" w:rsidRPr="00CB2647" w:rsidRDefault="001A37CF" w:rsidP="001A37CF">
            <w:pPr>
              <w:jc w:val="center"/>
              <w:cnfStyle w:val="000000100000"/>
              <w:rPr>
                <w:sz w:val="20"/>
                <w:szCs w:val="20"/>
              </w:rPr>
            </w:pPr>
            <w:r w:rsidRPr="00CB2647">
              <w:rPr>
                <w:sz w:val="20"/>
                <w:szCs w:val="20"/>
              </w:rPr>
              <w:t xml:space="preserve">% </w:t>
            </w:r>
            <w:r w:rsidR="004A1424" w:rsidRPr="00CB2647">
              <w:rPr>
                <w:sz w:val="20"/>
                <w:szCs w:val="20"/>
              </w:rPr>
              <w:t>37</w:t>
            </w:r>
            <w:r w:rsidRPr="00CB2647">
              <w:rPr>
                <w:sz w:val="20"/>
                <w:szCs w:val="20"/>
              </w:rPr>
              <w:t>,</w:t>
            </w:r>
            <w:r w:rsidR="004A1424" w:rsidRPr="00CB2647">
              <w:rPr>
                <w:sz w:val="20"/>
                <w:szCs w:val="20"/>
              </w:rPr>
              <w:t>5 (15/40)</w:t>
            </w:r>
          </w:p>
        </w:tc>
        <w:tc>
          <w:tcPr>
            <w:tcW w:w="850" w:type="dxa"/>
            <w:tcBorders>
              <w:top w:val="none" w:sz="0" w:space="0" w:color="auto"/>
              <w:bottom w:val="none" w:sz="0" w:space="0" w:color="auto"/>
              <w:right w:val="none" w:sz="0" w:space="0" w:color="auto"/>
            </w:tcBorders>
            <w:vAlign w:val="center"/>
          </w:tcPr>
          <w:p w:rsidR="004A1424" w:rsidRPr="00CB2647" w:rsidRDefault="004A1424" w:rsidP="001A37CF">
            <w:pPr>
              <w:jc w:val="center"/>
              <w:cnfStyle w:val="000000100000"/>
              <w:rPr>
                <w:sz w:val="20"/>
                <w:szCs w:val="20"/>
              </w:rPr>
            </w:pPr>
            <w:r w:rsidRPr="00CB2647">
              <w:rPr>
                <w:sz w:val="20"/>
                <w:szCs w:val="20"/>
              </w:rPr>
              <w:t>0,61</w:t>
            </w:r>
          </w:p>
        </w:tc>
      </w:tr>
    </w:tbl>
    <w:p w:rsidR="00C72C66" w:rsidRPr="00CB2647" w:rsidRDefault="00C72C66" w:rsidP="001A37CF"/>
    <w:p w:rsidR="002B5EB5" w:rsidRPr="00CB2647" w:rsidRDefault="001A37CF" w:rsidP="001A37CF">
      <w:r w:rsidRPr="00CB2647">
        <w:tab/>
      </w:r>
      <w:r w:rsidR="00A006C1" w:rsidRPr="00CB2647">
        <w:t>Olgula</w:t>
      </w:r>
      <w:r w:rsidR="009776FF" w:rsidRPr="00CB2647">
        <w:t>r arasında her iki grupta siklu</w:t>
      </w:r>
      <w:r w:rsidR="00A02BA8" w:rsidRPr="00CB2647">
        <w:t xml:space="preserve">s </w:t>
      </w:r>
      <w:r w:rsidR="00A006C1" w:rsidRPr="00CB2647">
        <w:t>özellikleri veya demografik özellikler açısından istatistiksel olarak anlamlı fark saptanmadı.</w:t>
      </w:r>
      <w:r w:rsidR="00506BEE" w:rsidRPr="00CB2647">
        <w:t xml:space="preserve"> Yaş aralığı 20-45 olarak belirlenen çalışmada, t</w:t>
      </w:r>
      <w:r w:rsidR="00A006C1" w:rsidRPr="00CB2647">
        <w:t>ek lümen iğne kullanılan grupta ortalama yaş 34</w:t>
      </w:r>
      <w:r w:rsidRPr="00CB2647">
        <w:t>,</w:t>
      </w:r>
      <w:r w:rsidR="00A006C1" w:rsidRPr="00CB2647">
        <w:t>3 i</w:t>
      </w:r>
      <w:r w:rsidR="00506BEE" w:rsidRPr="00CB2647">
        <w:t>ken [standart sapma</w:t>
      </w:r>
      <w:r w:rsidR="00A02BA8" w:rsidRPr="00CB2647">
        <w:t xml:space="preserve"> (SEM</w:t>
      </w:r>
      <w:r w:rsidR="00A006C1" w:rsidRPr="00CB2647">
        <w:t xml:space="preserve">)5.42],çift lümenli iğne kullanılan grupta ortalama yaş </w:t>
      </w:r>
      <w:r w:rsidR="00A02BA8" w:rsidRPr="00CB2647">
        <w:t>36.22(SEM</w:t>
      </w:r>
      <w:r w:rsidR="00506BEE" w:rsidRPr="00CB2647">
        <w:t xml:space="preserve"> 3.9) idi.AMH değerleri gruplar ar</w:t>
      </w:r>
      <w:r w:rsidR="002B5EB5" w:rsidRPr="00CB2647">
        <w:t>asında farklılık göstermedi, tek</w:t>
      </w:r>
      <w:r w:rsidR="00A02BA8" w:rsidRPr="00CB2647">
        <w:t>lümen iğne grubunda 0.63 iken(SEM</w:t>
      </w:r>
      <w:r w:rsidR="00506BEE" w:rsidRPr="00CB2647">
        <w:t xml:space="preserve"> 0.</w:t>
      </w:r>
      <w:r w:rsidR="00A02BA8" w:rsidRPr="00CB2647">
        <w:t xml:space="preserve">11),çift lümen grubunda 0.61(SEM </w:t>
      </w:r>
      <w:r w:rsidR="00E431BF" w:rsidRPr="00CB2647">
        <w:t>0.08) saptandı</w:t>
      </w:r>
      <w:r w:rsidR="00506BEE" w:rsidRPr="00CB2647">
        <w:t>.</w:t>
      </w:r>
      <w:r w:rsidR="00E64337" w:rsidRPr="00CB2647">
        <w:t>hCG gününde E2 değeri tek lümen iğne gru</w:t>
      </w:r>
      <w:r w:rsidR="00E431BF" w:rsidRPr="00CB2647">
        <w:t>bunda 528,</w:t>
      </w:r>
      <w:r w:rsidR="00A02BA8" w:rsidRPr="00CB2647">
        <w:t>82</w:t>
      </w:r>
      <w:r w:rsidR="00E431BF" w:rsidRPr="00CB2647">
        <w:t xml:space="preserve"> pg/ml </w:t>
      </w:r>
      <w:r w:rsidR="00A02BA8" w:rsidRPr="00CB2647">
        <w:t>(SEM</w:t>
      </w:r>
      <w:r w:rsidR="00E64337" w:rsidRPr="00CB2647">
        <w:t xml:space="preserve"> 54.85)iken, çi</w:t>
      </w:r>
      <w:r w:rsidR="00E431BF" w:rsidRPr="00CB2647">
        <w:t>ft lümen iğne grubunda 476,</w:t>
      </w:r>
      <w:r w:rsidR="00A02BA8" w:rsidRPr="00CB2647">
        <w:t>48(SEM</w:t>
      </w:r>
      <w:r w:rsidR="00E431BF" w:rsidRPr="00CB2647">
        <w:t xml:space="preserve"> 49.91) bulundu</w:t>
      </w:r>
      <w:r w:rsidR="00E64337" w:rsidRPr="00CB2647">
        <w:t xml:space="preserve">.En fazla GnRH Agonist </w:t>
      </w:r>
      <w:r w:rsidR="00FA6D01" w:rsidRPr="00CB2647">
        <w:t>ile L</w:t>
      </w:r>
      <w:r w:rsidR="00E64337" w:rsidRPr="00CB2647">
        <w:t>etrozol+FSH/GnRH Antag</w:t>
      </w:r>
      <w:r w:rsidR="002B5EB5" w:rsidRPr="00CB2647">
        <w:t>onist protokolleri uygulandı.</w:t>
      </w:r>
    </w:p>
    <w:p w:rsidR="00A006C1" w:rsidRPr="00CB2647" w:rsidRDefault="001A37CF" w:rsidP="001A37CF">
      <w:r w:rsidRPr="00CB2647">
        <w:tab/>
      </w:r>
      <w:r w:rsidR="00E431BF" w:rsidRPr="00CB2647">
        <w:t xml:space="preserve">Tek başına </w:t>
      </w:r>
      <w:r w:rsidR="00FA6D01" w:rsidRPr="00CB2647">
        <w:t xml:space="preserve">GnRH antagonist protokolü </w:t>
      </w:r>
      <w:r w:rsidR="002B5EB5" w:rsidRPr="00CB2647">
        <w:t>en az uygulanan protokoldü</w:t>
      </w:r>
      <w:r w:rsidR="00BE3E76" w:rsidRPr="00CB2647">
        <w:t>(%5)</w:t>
      </w:r>
      <w:r w:rsidR="002B5EB5" w:rsidRPr="00CB2647">
        <w:t xml:space="preserve">. </w:t>
      </w:r>
      <w:r w:rsidR="00C72C66" w:rsidRPr="00CB2647">
        <w:t xml:space="preserve">Kullanılan protokoller arasında anlamlı fark saptanmadı.Her iki gruptada yaklaşık olarak aynı sayıda </w:t>
      </w:r>
      <w:r w:rsidR="00A02BA8" w:rsidRPr="00CB2647">
        <w:t xml:space="preserve">&gt;14 mm follikül izlendi[3.35(SEM 0.15)ile 3.07(SEM </w:t>
      </w:r>
      <w:r w:rsidR="00C72C66" w:rsidRPr="00CB2647">
        <w:t>0.13),P=0.18]</w:t>
      </w:r>
      <w:r w:rsidR="002B5EB5" w:rsidRPr="00CB2647">
        <w:t>.</w:t>
      </w:r>
    </w:p>
    <w:p w:rsidR="00BE3E76" w:rsidRPr="00CB2647" w:rsidRDefault="001A37CF" w:rsidP="001A37CF">
      <w:r w:rsidRPr="00CB2647">
        <w:rPr>
          <w:rFonts w:cs="Times New Roman"/>
          <w:szCs w:val="24"/>
        </w:rPr>
        <w:tab/>
        <w:t>Olguların OPU ve laboratuar sonuçları Tablo 4.2’de sunulmuştur.</w:t>
      </w:r>
    </w:p>
    <w:p w:rsidR="001A37CF" w:rsidRPr="00CB2647" w:rsidRDefault="001A37CF" w:rsidP="001A37CF"/>
    <w:p w:rsidR="001A37CF" w:rsidRPr="00CB2647" w:rsidRDefault="001A37CF" w:rsidP="001A37CF"/>
    <w:p w:rsidR="001A37CF" w:rsidRPr="00CB2647" w:rsidRDefault="001A37CF" w:rsidP="001A37CF"/>
    <w:p w:rsidR="001A37CF" w:rsidRPr="00CB2647" w:rsidRDefault="001A37CF" w:rsidP="001A37CF">
      <w:r w:rsidRPr="00CB2647">
        <w:tab/>
        <w:t>Tablo 4.2: OPU ve Laboratuar Özellikleri</w:t>
      </w:r>
    </w:p>
    <w:tbl>
      <w:tblPr>
        <w:tblStyle w:val="AkListe-Vurgu5"/>
        <w:tblW w:w="0" w:type="auto"/>
        <w:tblInd w:w="108" w:type="dxa"/>
        <w:tblBorders>
          <w:insideH w:val="single" w:sz="8" w:space="0" w:color="4BACC6" w:themeColor="accent5"/>
          <w:insideV w:val="single" w:sz="8" w:space="0" w:color="4BACC6" w:themeColor="accent5"/>
        </w:tblBorders>
        <w:tblLook w:val="04A0"/>
      </w:tblPr>
      <w:tblGrid>
        <w:gridCol w:w="3402"/>
        <w:gridCol w:w="2197"/>
        <w:gridCol w:w="2197"/>
        <w:gridCol w:w="636"/>
      </w:tblGrid>
      <w:tr w:rsidR="00BE3E76" w:rsidRPr="00CB2647" w:rsidTr="001A37CF">
        <w:trPr>
          <w:cnfStyle w:val="100000000000"/>
        </w:trPr>
        <w:tc>
          <w:tcPr>
            <w:cnfStyle w:val="001000000000"/>
            <w:tcW w:w="3402" w:type="dxa"/>
          </w:tcPr>
          <w:p w:rsidR="00BE3E76" w:rsidRPr="00CB2647" w:rsidRDefault="00BE3E76" w:rsidP="0054243C">
            <w:pPr>
              <w:rPr>
                <w:rFonts w:cs="Times New Roman"/>
                <w:sz w:val="20"/>
                <w:szCs w:val="20"/>
              </w:rPr>
            </w:pPr>
          </w:p>
        </w:tc>
        <w:tc>
          <w:tcPr>
            <w:tcW w:w="2197" w:type="dxa"/>
            <w:vAlign w:val="center"/>
          </w:tcPr>
          <w:p w:rsidR="00BE3E76" w:rsidRPr="00CB2647" w:rsidRDefault="000447A5" w:rsidP="001A37CF">
            <w:pPr>
              <w:jc w:val="center"/>
              <w:cnfStyle w:val="100000000000"/>
              <w:rPr>
                <w:rFonts w:cs="Times New Roman"/>
                <w:sz w:val="20"/>
                <w:szCs w:val="20"/>
              </w:rPr>
            </w:pPr>
            <w:r w:rsidRPr="00CB2647">
              <w:rPr>
                <w:rFonts w:cs="Times New Roman"/>
                <w:sz w:val="20"/>
                <w:szCs w:val="20"/>
              </w:rPr>
              <w:t xml:space="preserve">Tek lümen iğne </w:t>
            </w:r>
            <w:r w:rsidR="00AA52DB" w:rsidRPr="00CB2647">
              <w:rPr>
                <w:rFonts w:cs="Times New Roman"/>
                <w:sz w:val="20"/>
                <w:szCs w:val="20"/>
              </w:rPr>
              <w:t>grubu</w:t>
            </w:r>
            <w:r w:rsidR="00BE3E76" w:rsidRPr="00CB2647">
              <w:rPr>
                <w:rFonts w:cs="Times New Roman"/>
                <w:sz w:val="20"/>
                <w:szCs w:val="20"/>
              </w:rPr>
              <w:t>(n=40)</w:t>
            </w:r>
          </w:p>
        </w:tc>
        <w:tc>
          <w:tcPr>
            <w:tcW w:w="2197" w:type="dxa"/>
            <w:vAlign w:val="center"/>
          </w:tcPr>
          <w:p w:rsidR="00BE3E76" w:rsidRPr="00CB2647" w:rsidRDefault="00AA52DB" w:rsidP="001A37CF">
            <w:pPr>
              <w:jc w:val="center"/>
              <w:cnfStyle w:val="100000000000"/>
              <w:rPr>
                <w:rFonts w:cs="Times New Roman"/>
                <w:sz w:val="20"/>
                <w:szCs w:val="20"/>
              </w:rPr>
            </w:pPr>
            <w:r w:rsidRPr="00CB2647">
              <w:rPr>
                <w:rFonts w:cs="Times New Roman"/>
                <w:sz w:val="20"/>
                <w:szCs w:val="20"/>
              </w:rPr>
              <w:t>Çift lümen iğne grubu</w:t>
            </w:r>
            <w:r w:rsidR="00BE3E76" w:rsidRPr="00CB2647">
              <w:rPr>
                <w:rFonts w:cs="Times New Roman"/>
                <w:sz w:val="20"/>
                <w:szCs w:val="20"/>
              </w:rPr>
              <w:t xml:space="preserve"> (n=40)</w:t>
            </w:r>
          </w:p>
        </w:tc>
        <w:tc>
          <w:tcPr>
            <w:tcW w:w="636" w:type="dxa"/>
            <w:vAlign w:val="center"/>
          </w:tcPr>
          <w:p w:rsidR="00BE3E76" w:rsidRPr="00CB2647" w:rsidRDefault="00BE3E76" w:rsidP="001A37CF">
            <w:pPr>
              <w:jc w:val="center"/>
              <w:cnfStyle w:val="100000000000"/>
              <w:rPr>
                <w:rFonts w:cs="Times New Roman"/>
                <w:sz w:val="20"/>
                <w:szCs w:val="20"/>
              </w:rPr>
            </w:pPr>
          </w:p>
        </w:tc>
      </w:tr>
      <w:tr w:rsidR="00BE3E76" w:rsidRPr="00CB2647" w:rsidTr="001A37CF">
        <w:trPr>
          <w:cnfStyle w:val="000000100000"/>
        </w:trPr>
        <w:tc>
          <w:tcPr>
            <w:cnfStyle w:val="001000000000"/>
            <w:tcW w:w="3402" w:type="dxa"/>
            <w:tcBorders>
              <w:top w:val="none" w:sz="0" w:space="0" w:color="auto"/>
              <w:left w:val="none" w:sz="0" w:space="0" w:color="auto"/>
              <w:bottom w:val="none" w:sz="0" w:space="0" w:color="auto"/>
            </w:tcBorders>
          </w:tcPr>
          <w:p w:rsidR="00BE3E76" w:rsidRPr="00CB2647" w:rsidRDefault="00AA52DB" w:rsidP="0054243C">
            <w:pPr>
              <w:rPr>
                <w:rFonts w:eastAsia="Calibri" w:cs="Times New Roman"/>
                <w:color w:val="000000"/>
                <w:sz w:val="20"/>
                <w:szCs w:val="20"/>
              </w:rPr>
            </w:pPr>
            <w:r w:rsidRPr="00CB2647">
              <w:rPr>
                <w:rFonts w:cs="Times New Roman"/>
                <w:sz w:val="20"/>
                <w:szCs w:val="20"/>
              </w:rPr>
              <w:t>Aspire edilen follikül sayısı</w:t>
            </w:r>
          </w:p>
        </w:tc>
        <w:tc>
          <w:tcPr>
            <w:tcW w:w="2197" w:type="dxa"/>
            <w:tcBorders>
              <w:top w:val="none" w:sz="0" w:space="0" w:color="auto"/>
              <w:bottom w:val="none" w:sz="0" w:space="0" w:color="auto"/>
            </w:tcBorders>
            <w:vAlign w:val="center"/>
          </w:tcPr>
          <w:p w:rsidR="00BE3E76" w:rsidRPr="00CB2647" w:rsidRDefault="00BE3E76" w:rsidP="001A37CF">
            <w:pPr>
              <w:jc w:val="center"/>
              <w:cnfStyle w:val="000000100000"/>
              <w:rPr>
                <w:rFonts w:cs="Times New Roman"/>
                <w:sz w:val="20"/>
                <w:szCs w:val="20"/>
              </w:rPr>
            </w:pPr>
            <w:r w:rsidRPr="00CB2647">
              <w:rPr>
                <w:rFonts w:cs="Times New Roman"/>
                <w:sz w:val="20"/>
                <w:szCs w:val="20"/>
              </w:rPr>
              <w:t>124</w:t>
            </w:r>
          </w:p>
        </w:tc>
        <w:tc>
          <w:tcPr>
            <w:tcW w:w="2197" w:type="dxa"/>
            <w:tcBorders>
              <w:top w:val="none" w:sz="0" w:space="0" w:color="auto"/>
              <w:bottom w:val="none" w:sz="0" w:space="0" w:color="auto"/>
            </w:tcBorders>
            <w:vAlign w:val="center"/>
          </w:tcPr>
          <w:p w:rsidR="00BE3E76" w:rsidRPr="00CB2647" w:rsidRDefault="00BE3E76" w:rsidP="001A37CF">
            <w:pPr>
              <w:jc w:val="center"/>
              <w:cnfStyle w:val="000000100000"/>
              <w:rPr>
                <w:rFonts w:cs="Times New Roman"/>
                <w:sz w:val="20"/>
                <w:szCs w:val="20"/>
              </w:rPr>
            </w:pPr>
            <w:r w:rsidRPr="00CB2647">
              <w:rPr>
                <w:rFonts w:cs="Times New Roman"/>
                <w:sz w:val="20"/>
                <w:szCs w:val="20"/>
              </w:rPr>
              <w:t>123</w:t>
            </w:r>
          </w:p>
        </w:tc>
        <w:tc>
          <w:tcPr>
            <w:tcW w:w="636" w:type="dxa"/>
            <w:tcBorders>
              <w:top w:val="none" w:sz="0" w:space="0" w:color="auto"/>
              <w:bottom w:val="none" w:sz="0" w:space="0" w:color="auto"/>
              <w:right w:val="none" w:sz="0" w:space="0" w:color="auto"/>
            </w:tcBorders>
            <w:vAlign w:val="center"/>
          </w:tcPr>
          <w:p w:rsidR="00BE3E76" w:rsidRPr="00CB2647" w:rsidRDefault="00BE3E76" w:rsidP="00280FD0">
            <w:pPr>
              <w:jc w:val="center"/>
              <w:cnfStyle w:val="000000100000"/>
              <w:rPr>
                <w:rFonts w:cs="Times New Roman"/>
                <w:sz w:val="20"/>
                <w:szCs w:val="20"/>
              </w:rPr>
            </w:pPr>
            <w:r w:rsidRPr="00CB2647">
              <w:rPr>
                <w:rFonts w:cs="Times New Roman"/>
                <w:sz w:val="20"/>
                <w:szCs w:val="20"/>
              </w:rPr>
              <w:t>0</w:t>
            </w:r>
            <w:r w:rsidR="00280FD0" w:rsidRPr="00CB2647">
              <w:rPr>
                <w:rFonts w:cs="Times New Roman"/>
                <w:sz w:val="20"/>
                <w:szCs w:val="20"/>
              </w:rPr>
              <w:t>,</w:t>
            </w:r>
            <w:r w:rsidRPr="00CB2647">
              <w:rPr>
                <w:rFonts w:cs="Times New Roman"/>
                <w:sz w:val="20"/>
                <w:szCs w:val="20"/>
              </w:rPr>
              <w:t>1</w:t>
            </w:r>
          </w:p>
        </w:tc>
      </w:tr>
      <w:tr w:rsidR="00BE3E76" w:rsidRPr="00CB2647" w:rsidTr="001A37CF">
        <w:tc>
          <w:tcPr>
            <w:cnfStyle w:val="001000000000"/>
            <w:tcW w:w="3402" w:type="dxa"/>
          </w:tcPr>
          <w:p w:rsidR="00BE3E76" w:rsidRPr="00CB2647" w:rsidRDefault="00AA52DB" w:rsidP="0054243C">
            <w:pPr>
              <w:rPr>
                <w:rFonts w:eastAsia="Calibri" w:cs="Times New Roman"/>
                <w:color w:val="000000"/>
                <w:sz w:val="20"/>
                <w:szCs w:val="20"/>
              </w:rPr>
            </w:pPr>
            <w:r w:rsidRPr="00CB2647">
              <w:rPr>
                <w:rFonts w:cs="Times New Roman"/>
                <w:sz w:val="20"/>
                <w:szCs w:val="20"/>
              </w:rPr>
              <w:t>Toplam oosit sayısı</w:t>
            </w:r>
          </w:p>
        </w:tc>
        <w:tc>
          <w:tcPr>
            <w:tcW w:w="2197" w:type="dxa"/>
            <w:vAlign w:val="center"/>
          </w:tcPr>
          <w:p w:rsidR="00BE3E76" w:rsidRPr="00CB2647" w:rsidRDefault="00BE3E76" w:rsidP="001A37CF">
            <w:pPr>
              <w:jc w:val="center"/>
              <w:cnfStyle w:val="000000000000"/>
              <w:rPr>
                <w:rFonts w:cs="Times New Roman"/>
                <w:sz w:val="20"/>
                <w:szCs w:val="20"/>
              </w:rPr>
            </w:pPr>
            <w:r w:rsidRPr="00CB2647">
              <w:rPr>
                <w:rFonts w:cs="Times New Roman"/>
                <w:sz w:val="20"/>
                <w:szCs w:val="20"/>
              </w:rPr>
              <w:t>93</w:t>
            </w:r>
          </w:p>
        </w:tc>
        <w:tc>
          <w:tcPr>
            <w:tcW w:w="2197" w:type="dxa"/>
            <w:vAlign w:val="center"/>
          </w:tcPr>
          <w:p w:rsidR="00BE3E76" w:rsidRPr="00CB2647" w:rsidRDefault="00BE3E76" w:rsidP="001A37CF">
            <w:pPr>
              <w:jc w:val="center"/>
              <w:cnfStyle w:val="000000000000"/>
              <w:rPr>
                <w:rFonts w:cs="Times New Roman"/>
                <w:sz w:val="20"/>
                <w:szCs w:val="20"/>
              </w:rPr>
            </w:pPr>
            <w:r w:rsidRPr="00CB2647">
              <w:rPr>
                <w:rFonts w:cs="Times New Roman"/>
                <w:sz w:val="20"/>
                <w:szCs w:val="20"/>
              </w:rPr>
              <w:t>94</w:t>
            </w:r>
          </w:p>
        </w:tc>
        <w:tc>
          <w:tcPr>
            <w:tcW w:w="636" w:type="dxa"/>
            <w:vAlign w:val="center"/>
          </w:tcPr>
          <w:p w:rsidR="00BE3E76" w:rsidRPr="00CB2647" w:rsidRDefault="00BE3E76" w:rsidP="00280FD0">
            <w:pPr>
              <w:jc w:val="center"/>
              <w:cnfStyle w:val="000000000000"/>
              <w:rPr>
                <w:rFonts w:cs="Times New Roman"/>
                <w:sz w:val="20"/>
                <w:szCs w:val="20"/>
              </w:rPr>
            </w:pPr>
            <w:r w:rsidRPr="00CB2647">
              <w:rPr>
                <w:rFonts w:cs="Times New Roman"/>
                <w:sz w:val="20"/>
                <w:szCs w:val="20"/>
              </w:rPr>
              <w:t>0</w:t>
            </w:r>
            <w:r w:rsidR="00280FD0" w:rsidRPr="00CB2647">
              <w:rPr>
                <w:rFonts w:cs="Times New Roman"/>
                <w:sz w:val="20"/>
                <w:szCs w:val="20"/>
              </w:rPr>
              <w:t>,</w:t>
            </w:r>
            <w:r w:rsidRPr="00CB2647">
              <w:rPr>
                <w:rFonts w:cs="Times New Roman"/>
                <w:sz w:val="20"/>
                <w:szCs w:val="20"/>
              </w:rPr>
              <w:t>1</w:t>
            </w:r>
          </w:p>
        </w:tc>
      </w:tr>
      <w:tr w:rsidR="00BE3E76" w:rsidRPr="00CB2647" w:rsidTr="001A37CF">
        <w:trPr>
          <w:cnfStyle w:val="000000100000"/>
        </w:trPr>
        <w:tc>
          <w:tcPr>
            <w:cnfStyle w:val="001000000000"/>
            <w:tcW w:w="3402" w:type="dxa"/>
            <w:tcBorders>
              <w:top w:val="none" w:sz="0" w:space="0" w:color="auto"/>
              <w:left w:val="none" w:sz="0" w:space="0" w:color="auto"/>
              <w:bottom w:val="none" w:sz="0" w:space="0" w:color="auto"/>
            </w:tcBorders>
          </w:tcPr>
          <w:p w:rsidR="00BE3E76" w:rsidRPr="00CB2647" w:rsidRDefault="00AA52DB" w:rsidP="0054243C">
            <w:pPr>
              <w:rPr>
                <w:rFonts w:eastAsia="Calibri" w:cs="Times New Roman"/>
                <w:color w:val="000000"/>
                <w:sz w:val="20"/>
                <w:szCs w:val="20"/>
              </w:rPr>
            </w:pPr>
            <w:r w:rsidRPr="00CB2647">
              <w:rPr>
                <w:rFonts w:eastAsia="Calibri" w:cs="Times New Roman"/>
                <w:color w:val="000000"/>
                <w:sz w:val="20"/>
                <w:szCs w:val="20"/>
              </w:rPr>
              <w:t>Toplanan oositler</w:t>
            </w:r>
          </w:p>
        </w:tc>
        <w:tc>
          <w:tcPr>
            <w:tcW w:w="2197" w:type="dxa"/>
            <w:tcBorders>
              <w:top w:val="none" w:sz="0" w:space="0" w:color="auto"/>
              <w:bottom w:val="none" w:sz="0" w:space="0" w:color="auto"/>
            </w:tcBorders>
            <w:vAlign w:val="center"/>
          </w:tcPr>
          <w:p w:rsidR="00BE3E76" w:rsidRPr="00CB2647" w:rsidRDefault="00BE3E76" w:rsidP="00280FD0">
            <w:pPr>
              <w:jc w:val="center"/>
              <w:cnfStyle w:val="000000100000"/>
              <w:rPr>
                <w:rFonts w:cs="Times New Roman"/>
                <w:sz w:val="20"/>
                <w:szCs w:val="20"/>
              </w:rPr>
            </w:pPr>
            <w:r w:rsidRPr="00CB2647">
              <w:rPr>
                <w:rFonts w:cs="Times New Roman"/>
                <w:sz w:val="20"/>
                <w:szCs w:val="20"/>
              </w:rPr>
              <w:t>2</w:t>
            </w:r>
            <w:r w:rsidR="00280FD0" w:rsidRPr="00CB2647">
              <w:rPr>
                <w:rFonts w:cs="Times New Roman"/>
                <w:sz w:val="20"/>
                <w:szCs w:val="20"/>
              </w:rPr>
              <w:t>,</w:t>
            </w:r>
            <w:r w:rsidRPr="00CB2647">
              <w:rPr>
                <w:rFonts w:cs="Times New Roman"/>
                <w:sz w:val="20"/>
                <w:szCs w:val="20"/>
              </w:rPr>
              <w:t>32±0</w:t>
            </w:r>
            <w:r w:rsidR="00280FD0" w:rsidRPr="00CB2647">
              <w:rPr>
                <w:rFonts w:cs="Times New Roman"/>
                <w:sz w:val="20"/>
                <w:szCs w:val="20"/>
              </w:rPr>
              <w:t>,</w:t>
            </w:r>
            <w:r w:rsidRPr="00CB2647">
              <w:rPr>
                <w:rFonts w:cs="Times New Roman"/>
                <w:sz w:val="20"/>
                <w:szCs w:val="20"/>
              </w:rPr>
              <w:t>18</w:t>
            </w:r>
          </w:p>
        </w:tc>
        <w:tc>
          <w:tcPr>
            <w:tcW w:w="2197" w:type="dxa"/>
            <w:tcBorders>
              <w:top w:val="none" w:sz="0" w:space="0" w:color="auto"/>
              <w:bottom w:val="none" w:sz="0" w:space="0" w:color="auto"/>
            </w:tcBorders>
            <w:vAlign w:val="center"/>
          </w:tcPr>
          <w:p w:rsidR="00BE3E76" w:rsidRPr="00CB2647" w:rsidRDefault="00BE3E76" w:rsidP="00280FD0">
            <w:pPr>
              <w:jc w:val="center"/>
              <w:cnfStyle w:val="000000100000"/>
              <w:rPr>
                <w:rFonts w:cs="Times New Roman"/>
                <w:sz w:val="20"/>
                <w:szCs w:val="20"/>
              </w:rPr>
            </w:pPr>
            <w:r w:rsidRPr="00CB2647">
              <w:rPr>
                <w:rFonts w:cs="Times New Roman"/>
                <w:sz w:val="20"/>
                <w:szCs w:val="20"/>
              </w:rPr>
              <w:t>2</w:t>
            </w:r>
            <w:r w:rsidR="00280FD0" w:rsidRPr="00CB2647">
              <w:rPr>
                <w:rFonts w:cs="Times New Roman"/>
                <w:sz w:val="20"/>
                <w:szCs w:val="20"/>
              </w:rPr>
              <w:t>,</w:t>
            </w:r>
            <w:r w:rsidRPr="00CB2647">
              <w:rPr>
                <w:rFonts w:cs="Times New Roman"/>
                <w:sz w:val="20"/>
                <w:szCs w:val="20"/>
              </w:rPr>
              <w:t>32±0</w:t>
            </w:r>
            <w:r w:rsidR="00280FD0" w:rsidRPr="00CB2647">
              <w:rPr>
                <w:rFonts w:cs="Times New Roman"/>
                <w:sz w:val="20"/>
                <w:szCs w:val="20"/>
              </w:rPr>
              <w:t>,</w:t>
            </w:r>
            <w:r w:rsidRPr="00CB2647">
              <w:rPr>
                <w:rFonts w:cs="Times New Roman"/>
                <w:sz w:val="20"/>
                <w:szCs w:val="20"/>
              </w:rPr>
              <w:t>17</w:t>
            </w:r>
          </w:p>
        </w:tc>
        <w:tc>
          <w:tcPr>
            <w:tcW w:w="636" w:type="dxa"/>
            <w:tcBorders>
              <w:top w:val="none" w:sz="0" w:space="0" w:color="auto"/>
              <w:bottom w:val="none" w:sz="0" w:space="0" w:color="auto"/>
              <w:right w:val="none" w:sz="0" w:space="0" w:color="auto"/>
            </w:tcBorders>
            <w:vAlign w:val="center"/>
          </w:tcPr>
          <w:p w:rsidR="00BE3E76" w:rsidRPr="00CB2647" w:rsidRDefault="00BE3E76" w:rsidP="00280FD0">
            <w:pPr>
              <w:jc w:val="center"/>
              <w:cnfStyle w:val="000000100000"/>
              <w:rPr>
                <w:rFonts w:cs="Times New Roman"/>
                <w:sz w:val="20"/>
                <w:szCs w:val="20"/>
              </w:rPr>
            </w:pPr>
            <w:r w:rsidRPr="00CB2647">
              <w:rPr>
                <w:rFonts w:cs="Times New Roman"/>
                <w:sz w:val="20"/>
                <w:szCs w:val="20"/>
              </w:rPr>
              <w:t>0</w:t>
            </w:r>
            <w:r w:rsidR="00280FD0" w:rsidRPr="00CB2647">
              <w:rPr>
                <w:rFonts w:cs="Times New Roman"/>
                <w:sz w:val="20"/>
                <w:szCs w:val="20"/>
              </w:rPr>
              <w:t>,</w:t>
            </w:r>
            <w:r w:rsidRPr="00CB2647">
              <w:rPr>
                <w:rFonts w:cs="Times New Roman"/>
                <w:sz w:val="20"/>
                <w:szCs w:val="20"/>
              </w:rPr>
              <w:t>1</w:t>
            </w:r>
          </w:p>
        </w:tc>
      </w:tr>
      <w:tr w:rsidR="00BE3E76" w:rsidRPr="00CB2647" w:rsidTr="001A37CF">
        <w:tc>
          <w:tcPr>
            <w:cnfStyle w:val="001000000000"/>
            <w:tcW w:w="3402" w:type="dxa"/>
          </w:tcPr>
          <w:p w:rsidR="00BE3E76" w:rsidRPr="00CB2647" w:rsidRDefault="00BE3E76" w:rsidP="0054243C">
            <w:pPr>
              <w:rPr>
                <w:rFonts w:eastAsia="Calibri" w:cs="Times New Roman"/>
                <w:color w:val="000000"/>
                <w:sz w:val="20"/>
                <w:szCs w:val="20"/>
              </w:rPr>
            </w:pPr>
            <w:r w:rsidRPr="00CB2647">
              <w:rPr>
                <w:rFonts w:eastAsia="Calibri" w:cs="Times New Roman"/>
                <w:color w:val="000000"/>
                <w:sz w:val="20"/>
                <w:szCs w:val="20"/>
              </w:rPr>
              <w:t>M II oo</w:t>
            </w:r>
            <w:r w:rsidR="00AA52DB" w:rsidRPr="00CB2647">
              <w:rPr>
                <w:rFonts w:eastAsia="Calibri" w:cs="Times New Roman"/>
                <w:color w:val="000000"/>
                <w:sz w:val="20"/>
                <w:szCs w:val="20"/>
              </w:rPr>
              <w:t>sit sayısı</w:t>
            </w:r>
          </w:p>
        </w:tc>
        <w:tc>
          <w:tcPr>
            <w:tcW w:w="2197" w:type="dxa"/>
            <w:vAlign w:val="center"/>
          </w:tcPr>
          <w:p w:rsidR="00BE3E76" w:rsidRPr="00CB2647" w:rsidRDefault="00BE3E76" w:rsidP="00280FD0">
            <w:pPr>
              <w:jc w:val="center"/>
              <w:cnfStyle w:val="000000000000"/>
              <w:rPr>
                <w:rFonts w:cs="Times New Roman"/>
                <w:sz w:val="20"/>
                <w:szCs w:val="20"/>
              </w:rPr>
            </w:pPr>
            <w:r w:rsidRPr="00CB2647">
              <w:rPr>
                <w:rFonts w:cs="Times New Roman"/>
                <w:sz w:val="20"/>
                <w:szCs w:val="20"/>
              </w:rPr>
              <w:t>1</w:t>
            </w:r>
            <w:r w:rsidR="00280FD0" w:rsidRPr="00CB2647">
              <w:rPr>
                <w:rFonts w:cs="Times New Roman"/>
                <w:sz w:val="20"/>
                <w:szCs w:val="20"/>
              </w:rPr>
              <w:t>,</w:t>
            </w:r>
            <w:r w:rsidRPr="00CB2647">
              <w:rPr>
                <w:rFonts w:cs="Times New Roman"/>
                <w:sz w:val="20"/>
                <w:szCs w:val="20"/>
              </w:rPr>
              <w:t>92±0</w:t>
            </w:r>
            <w:r w:rsidR="00280FD0" w:rsidRPr="00CB2647">
              <w:rPr>
                <w:rFonts w:cs="Times New Roman"/>
                <w:sz w:val="20"/>
                <w:szCs w:val="20"/>
              </w:rPr>
              <w:t>,</w:t>
            </w:r>
            <w:r w:rsidRPr="00CB2647">
              <w:rPr>
                <w:rFonts w:cs="Times New Roman"/>
                <w:sz w:val="20"/>
                <w:szCs w:val="20"/>
              </w:rPr>
              <w:t>16</w:t>
            </w:r>
          </w:p>
        </w:tc>
        <w:tc>
          <w:tcPr>
            <w:tcW w:w="2197" w:type="dxa"/>
            <w:vAlign w:val="center"/>
          </w:tcPr>
          <w:p w:rsidR="00BE3E76" w:rsidRPr="00CB2647" w:rsidRDefault="00BE3E76" w:rsidP="00280FD0">
            <w:pPr>
              <w:jc w:val="center"/>
              <w:cnfStyle w:val="000000000000"/>
              <w:rPr>
                <w:rFonts w:cs="Times New Roman"/>
                <w:sz w:val="20"/>
                <w:szCs w:val="20"/>
              </w:rPr>
            </w:pPr>
            <w:r w:rsidRPr="00CB2647">
              <w:rPr>
                <w:rFonts w:cs="Times New Roman"/>
                <w:sz w:val="20"/>
                <w:szCs w:val="20"/>
              </w:rPr>
              <w:t>2</w:t>
            </w:r>
            <w:r w:rsidR="00280FD0" w:rsidRPr="00CB2647">
              <w:rPr>
                <w:rFonts w:cs="Times New Roman"/>
                <w:sz w:val="20"/>
                <w:szCs w:val="20"/>
              </w:rPr>
              <w:t>,</w:t>
            </w:r>
            <w:r w:rsidRPr="00CB2647">
              <w:rPr>
                <w:rFonts w:cs="Times New Roman"/>
                <w:sz w:val="20"/>
                <w:szCs w:val="20"/>
              </w:rPr>
              <w:t>12±0</w:t>
            </w:r>
            <w:r w:rsidR="00280FD0" w:rsidRPr="00CB2647">
              <w:rPr>
                <w:rFonts w:cs="Times New Roman"/>
                <w:sz w:val="20"/>
                <w:szCs w:val="20"/>
              </w:rPr>
              <w:t>,</w:t>
            </w:r>
            <w:r w:rsidRPr="00CB2647">
              <w:rPr>
                <w:rFonts w:cs="Times New Roman"/>
                <w:sz w:val="20"/>
                <w:szCs w:val="20"/>
              </w:rPr>
              <w:t>15</w:t>
            </w:r>
          </w:p>
        </w:tc>
        <w:tc>
          <w:tcPr>
            <w:tcW w:w="636" w:type="dxa"/>
            <w:vAlign w:val="center"/>
          </w:tcPr>
          <w:p w:rsidR="00BE3E76" w:rsidRPr="00CB2647" w:rsidRDefault="00BE3E76" w:rsidP="00280FD0">
            <w:pPr>
              <w:jc w:val="center"/>
              <w:cnfStyle w:val="000000000000"/>
              <w:rPr>
                <w:rFonts w:cs="Times New Roman"/>
                <w:sz w:val="20"/>
                <w:szCs w:val="20"/>
              </w:rPr>
            </w:pPr>
            <w:r w:rsidRPr="00CB2647">
              <w:rPr>
                <w:rFonts w:cs="Times New Roman"/>
                <w:sz w:val="20"/>
                <w:szCs w:val="20"/>
              </w:rPr>
              <w:t>0</w:t>
            </w:r>
            <w:r w:rsidR="00280FD0" w:rsidRPr="00CB2647">
              <w:rPr>
                <w:rFonts w:cs="Times New Roman"/>
                <w:sz w:val="20"/>
                <w:szCs w:val="20"/>
              </w:rPr>
              <w:t>,</w:t>
            </w:r>
            <w:r w:rsidRPr="00CB2647">
              <w:rPr>
                <w:rFonts w:cs="Times New Roman"/>
                <w:sz w:val="20"/>
                <w:szCs w:val="20"/>
              </w:rPr>
              <w:t>25</w:t>
            </w:r>
          </w:p>
        </w:tc>
      </w:tr>
      <w:tr w:rsidR="00BE3E76" w:rsidRPr="00CB2647" w:rsidTr="001A37CF">
        <w:trPr>
          <w:cnfStyle w:val="000000100000"/>
        </w:trPr>
        <w:tc>
          <w:tcPr>
            <w:cnfStyle w:val="001000000000"/>
            <w:tcW w:w="3402" w:type="dxa"/>
            <w:tcBorders>
              <w:top w:val="none" w:sz="0" w:space="0" w:color="auto"/>
              <w:left w:val="none" w:sz="0" w:space="0" w:color="auto"/>
              <w:bottom w:val="none" w:sz="0" w:space="0" w:color="auto"/>
            </w:tcBorders>
          </w:tcPr>
          <w:p w:rsidR="00BE3E76" w:rsidRPr="00CB2647" w:rsidRDefault="00BE3E76" w:rsidP="0054243C">
            <w:pPr>
              <w:rPr>
                <w:rFonts w:eastAsia="Calibri" w:cs="Times New Roman"/>
                <w:color w:val="000000"/>
                <w:sz w:val="20"/>
                <w:szCs w:val="20"/>
              </w:rPr>
            </w:pPr>
            <w:r w:rsidRPr="00CB2647">
              <w:rPr>
                <w:rFonts w:cs="Times New Roman"/>
                <w:sz w:val="20"/>
                <w:szCs w:val="20"/>
              </w:rPr>
              <w:t>GV</w:t>
            </w:r>
            <w:r w:rsidR="00AA52DB" w:rsidRPr="00CB2647">
              <w:rPr>
                <w:rFonts w:cs="Times New Roman"/>
                <w:sz w:val="20"/>
                <w:szCs w:val="20"/>
              </w:rPr>
              <w:t xml:space="preserve"> sayısı</w:t>
            </w:r>
          </w:p>
        </w:tc>
        <w:tc>
          <w:tcPr>
            <w:tcW w:w="2197" w:type="dxa"/>
            <w:tcBorders>
              <w:top w:val="none" w:sz="0" w:space="0" w:color="auto"/>
              <w:bottom w:val="none" w:sz="0" w:space="0" w:color="auto"/>
            </w:tcBorders>
            <w:vAlign w:val="center"/>
          </w:tcPr>
          <w:p w:rsidR="00BE3E76" w:rsidRPr="00CB2647" w:rsidRDefault="00BE3E76" w:rsidP="00280FD0">
            <w:pPr>
              <w:jc w:val="center"/>
              <w:cnfStyle w:val="000000100000"/>
              <w:rPr>
                <w:rFonts w:cs="Times New Roman"/>
                <w:sz w:val="20"/>
                <w:szCs w:val="20"/>
              </w:rPr>
            </w:pPr>
            <w:r w:rsidRPr="00CB2647">
              <w:rPr>
                <w:rFonts w:cs="Times New Roman"/>
                <w:sz w:val="20"/>
                <w:szCs w:val="20"/>
              </w:rPr>
              <w:t>0</w:t>
            </w:r>
            <w:r w:rsidR="00280FD0" w:rsidRPr="00CB2647">
              <w:rPr>
                <w:rFonts w:cs="Times New Roman"/>
                <w:sz w:val="20"/>
                <w:szCs w:val="20"/>
              </w:rPr>
              <w:t>,</w:t>
            </w:r>
            <w:r w:rsidRPr="00CB2647">
              <w:rPr>
                <w:rFonts w:cs="Times New Roman"/>
                <w:sz w:val="20"/>
                <w:szCs w:val="20"/>
              </w:rPr>
              <w:t>07±0</w:t>
            </w:r>
            <w:r w:rsidR="00280FD0" w:rsidRPr="00CB2647">
              <w:rPr>
                <w:rFonts w:cs="Times New Roman"/>
                <w:sz w:val="20"/>
                <w:szCs w:val="20"/>
              </w:rPr>
              <w:t>,</w:t>
            </w:r>
            <w:r w:rsidRPr="00CB2647">
              <w:rPr>
                <w:rFonts w:cs="Times New Roman"/>
                <w:sz w:val="20"/>
                <w:szCs w:val="20"/>
              </w:rPr>
              <w:t>042</w:t>
            </w:r>
          </w:p>
        </w:tc>
        <w:tc>
          <w:tcPr>
            <w:tcW w:w="2197" w:type="dxa"/>
            <w:tcBorders>
              <w:top w:val="none" w:sz="0" w:space="0" w:color="auto"/>
              <w:bottom w:val="none" w:sz="0" w:space="0" w:color="auto"/>
            </w:tcBorders>
            <w:vAlign w:val="center"/>
          </w:tcPr>
          <w:p w:rsidR="00BE3E76" w:rsidRPr="00CB2647" w:rsidRDefault="00BE3E76" w:rsidP="00280FD0">
            <w:pPr>
              <w:jc w:val="center"/>
              <w:cnfStyle w:val="000000100000"/>
              <w:rPr>
                <w:rFonts w:cs="Times New Roman"/>
                <w:sz w:val="20"/>
                <w:szCs w:val="20"/>
              </w:rPr>
            </w:pPr>
            <w:r w:rsidRPr="00CB2647">
              <w:rPr>
                <w:rFonts w:cs="Times New Roman"/>
                <w:sz w:val="20"/>
                <w:szCs w:val="20"/>
              </w:rPr>
              <w:t>0</w:t>
            </w:r>
            <w:r w:rsidR="00280FD0" w:rsidRPr="00CB2647">
              <w:rPr>
                <w:rFonts w:cs="Times New Roman"/>
                <w:sz w:val="20"/>
                <w:szCs w:val="20"/>
              </w:rPr>
              <w:t>,</w:t>
            </w:r>
            <w:r w:rsidRPr="00CB2647">
              <w:rPr>
                <w:rFonts w:cs="Times New Roman"/>
                <w:sz w:val="20"/>
                <w:szCs w:val="20"/>
              </w:rPr>
              <w:t>05±0</w:t>
            </w:r>
            <w:r w:rsidR="00280FD0" w:rsidRPr="00CB2647">
              <w:rPr>
                <w:rFonts w:cs="Times New Roman"/>
                <w:sz w:val="20"/>
                <w:szCs w:val="20"/>
              </w:rPr>
              <w:t>,</w:t>
            </w:r>
            <w:r w:rsidRPr="00CB2647">
              <w:rPr>
                <w:rFonts w:cs="Times New Roman"/>
                <w:sz w:val="20"/>
                <w:szCs w:val="20"/>
              </w:rPr>
              <w:t>034</w:t>
            </w:r>
          </w:p>
        </w:tc>
        <w:tc>
          <w:tcPr>
            <w:tcW w:w="636" w:type="dxa"/>
            <w:tcBorders>
              <w:top w:val="none" w:sz="0" w:space="0" w:color="auto"/>
              <w:bottom w:val="none" w:sz="0" w:space="0" w:color="auto"/>
              <w:right w:val="none" w:sz="0" w:space="0" w:color="auto"/>
            </w:tcBorders>
            <w:vAlign w:val="center"/>
          </w:tcPr>
          <w:p w:rsidR="00BE3E76" w:rsidRPr="00CB2647" w:rsidRDefault="00BE3E76" w:rsidP="00280FD0">
            <w:pPr>
              <w:jc w:val="center"/>
              <w:cnfStyle w:val="000000100000"/>
              <w:rPr>
                <w:rFonts w:cs="Times New Roman"/>
                <w:sz w:val="20"/>
                <w:szCs w:val="20"/>
              </w:rPr>
            </w:pPr>
            <w:r w:rsidRPr="00CB2647">
              <w:rPr>
                <w:rFonts w:cs="Times New Roman"/>
                <w:sz w:val="20"/>
                <w:szCs w:val="20"/>
              </w:rPr>
              <w:t>0</w:t>
            </w:r>
            <w:r w:rsidR="00280FD0" w:rsidRPr="00CB2647">
              <w:rPr>
                <w:rFonts w:cs="Times New Roman"/>
                <w:sz w:val="20"/>
                <w:szCs w:val="20"/>
              </w:rPr>
              <w:t>,</w:t>
            </w:r>
            <w:r w:rsidRPr="00CB2647">
              <w:rPr>
                <w:rFonts w:cs="Times New Roman"/>
                <w:sz w:val="20"/>
                <w:szCs w:val="20"/>
              </w:rPr>
              <w:t>64</w:t>
            </w:r>
          </w:p>
        </w:tc>
      </w:tr>
      <w:tr w:rsidR="00BE3E76" w:rsidRPr="00CB2647" w:rsidTr="001A37CF">
        <w:tc>
          <w:tcPr>
            <w:cnfStyle w:val="001000000000"/>
            <w:tcW w:w="3402" w:type="dxa"/>
          </w:tcPr>
          <w:p w:rsidR="00BE3E76" w:rsidRPr="00CB2647" w:rsidRDefault="00161E21" w:rsidP="0054243C">
            <w:pPr>
              <w:rPr>
                <w:rFonts w:eastAsia="Calibri" w:cs="Times New Roman"/>
                <w:color w:val="000000"/>
                <w:sz w:val="20"/>
                <w:szCs w:val="20"/>
              </w:rPr>
            </w:pPr>
            <w:r w:rsidRPr="00CB2647">
              <w:rPr>
                <w:rFonts w:cs="Times New Roman"/>
                <w:sz w:val="20"/>
                <w:szCs w:val="20"/>
              </w:rPr>
              <w:t>OPU süresi(saniye)</w:t>
            </w:r>
          </w:p>
        </w:tc>
        <w:tc>
          <w:tcPr>
            <w:tcW w:w="2197" w:type="dxa"/>
            <w:vAlign w:val="center"/>
          </w:tcPr>
          <w:p w:rsidR="00BE3E76" w:rsidRPr="00CB2647" w:rsidRDefault="00BE3E76" w:rsidP="00280FD0">
            <w:pPr>
              <w:jc w:val="center"/>
              <w:cnfStyle w:val="000000000000"/>
              <w:rPr>
                <w:rFonts w:cs="Times New Roman"/>
                <w:sz w:val="20"/>
                <w:szCs w:val="20"/>
              </w:rPr>
            </w:pPr>
            <w:r w:rsidRPr="00CB2647">
              <w:rPr>
                <w:rFonts w:cs="Times New Roman"/>
                <w:sz w:val="20"/>
                <w:szCs w:val="20"/>
              </w:rPr>
              <w:t>178</w:t>
            </w:r>
            <w:r w:rsidR="00280FD0" w:rsidRPr="00CB2647">
              <w:rPr>
                <w:rFonts w:cs="Times New Roman"/>
                <w:sz w:val="20"/>
                <w:szCs w:val="20"/>
              </w:rPr>
              <w:t>,</w:t>
            </w:r>
            <w:r w:rsidRPr="00CB2647">
              <w:rPr>
                <w:rFonts w:cs="Times New Roman"/>
                <w:sz w:val="20"/>
                <w:szCs w:val="20"/>
              </w:rPr>
              <w:t>39±13</w:t>
            </w:r>
            <w:r w:rsidR="00280FD0" w:rsidRPr="00CB2647">
              <w:rPr>
                <w:rFonts w:cs="Times New Roman"/>
                <w:sz w:val="20"/>
                <w:szCs w:val="20"/>
              </w:rPr>
              <w:t>,</w:t>
            </w:r>
            <w:r w:rsidRPr="00CB2647">
              <w:rPr>
                <w:rFonts w:cs="Times New Roman"/>
                <w:sz w:val="20"/>
                <w:szCs w:val="20"/>
              </w:rPr>
              <w:t>44</w:t>
            </w:r>
          </w:p>
        </w:tc>
        <w:tc>
          <w:tcPr>
            <w:tcW w:w="2197" w:type="dxa"/>
            <w:vAlign w:val="center"/>
          </w:tcPr>
          <w:p w:rsidR="00BE3E76" w:rsidRPr="00CB2647" w:rsidRDefault="00BE3E76" w:rsidP="00280FD0">
            <w:pPr>
              <w:jc w:val="center"/>
              <w:cnfStyle w:val="000000000000"/>
              <w:rPr>
                <w:rFonts w:cs="Times New Roman"/>
                <w:sz w:val="20"/>
                <w:szCs w:val="20"/>
              </w:rPr>
            </w:pPr>
            <w:r w:rsidRPr="00CB2647">
              <w:rPr>
                <w:rFonts w:cs="Times New Roman"/>
                <w:sz w:val="20"/>
                <w:szCs w:val="20"/>
              </w:rPr>
              <w:t>236</w:t>
            </w:r>
            <w:r w:rsidR="00280FD0" w:rsidRPr="00CB2647">
              <w:rPr>
                <w:rFonts w:cs="Times New Roman"/>
                <w:sz w:val="20"/>
                <w:szCs w:val="20"/>
              </w:rPr>
              <w:t>,</w:t>
            </w:r>
            <w:r w:rsidRPr="00CB2647">
              <w:rPr>
                <w:rFonts w:cs="Times New Roman"/>
                <w:sz w:val="20"/>
                <w:szCs w:val="20"/>
              </w:rPr>
              <w:t>30±24</w:t>
            </w:r>
            <w:r w:rsidR="00280FD0" w:rsidRPr="00CB2647">
              <w:rPr>
                <w:rFonts w:cs="Times New Roman"/>
                <w:sz w:val="20"/>
                <w:szCs w:val="20"/>
              </w:rPr>
              <w:t>,</w:t>
            </w:r>
            <w:r w:rsidRPr="00CB2647">
              <w:rPr>
                <w:rFonts w:cs="Times New Roman"/>
                <w:sz w:val="20"/>
                <w:szCs w:val="20"/>
              </w:rPr>
              <w:t>13</w:t>
            </w:r>
          </w:p>
        </w:tc>
        <w:tc>
          <w:tcPr>
            <w:tcW w:w="636" w:type="dxa"/>
            <w:vAlign w:val="center"/>
          </w:tcPr>
          <w:p w:rsidR="00BE3E76" w:rsidRPr="00CB2647" w:rsidRDefault="00BE3E76" w:rsidP="00280FD0">
            <w:pPr>
              <w:jc w:val="center"/>
              <w:cnfStyle w:val="000000000000"/>
              <w:rPr>
                <w:rFonts w:cs="Times New Roman"/>
                <w:b/>
                <w:sz w:val="20"/>
                <w:szCs w:val="20"/>
              </w:rPr>
            </w:pPr>
            <w:r w:rsidRPr="00CB2647">
              <w:rPr>
                <w:rFonts w:cs="Times New Roman"/>
                <w:b/>
                <w:sz w:val="20"/>
                <w:szCs w:val="20"/>
              </w:rPr>
              <w:t>0</w:t>
            </w:r>
            <w:r w:rsidR="00280FD0" w:rsidRPr="00CB2647">
              <w:rPr>
                <w:rFonts w:cs="Times New Roman"/>
                <w:b/>
                <w:sz w:val="20"/>
                <w:szCs w:val="20"/>
              </w:rPr>
              <w:t>,</w:t>
            </w:r>
            <w:r w:rsidRPr="00CB2647">
              <w:rPr>
                <w:rFonts w:cs="Times New Roman"/>
                <w:b/>
                <w:sz w:val="20"/>
                <w:szCs w:val="20"/>
              </w:rPr>
              <w:t>01</w:t>
            </w:r>
          </w:p>
        </w:tc>
      </w:tr>
      <w:tr w:rsidR="00BE3E76" w:rsidRPr="00CB2647" w:rsidTr="001A37CF">
        <w:trPr>
          <w:cnfStyle w:val="000000100000"/>
        </w:trPr>
        <w:tc>
          <w:tcPr>
            <w:cnfStyle w:val="001000000000"/>
            <w:tcW w:w="3402" w:type="dxa"/>
            <w:tcBorders>
              <w:top w:val="none" w:sz="0" w:space="0" w:color="auto"/>
              <w:left w:val="none" w:sz="0" w:space="0" w:color="auto"/>
              <w:bottom w:val="none" w:sz="0" w:space="0" w:color="auto"/>
            </w:tcBorders>
          </w:tcPr>
          <w:p w:rsidR="00BE3E76" w:rsidRPr="00CB2647" w:rsidRDefault="00BE3E76" w:rsidP="0054243C">
            <w:pPr>
              <w:rPr>
                <w:rFonts w:eastAsia="Calibri" w:cs="Times New Roman"/>
                <w:color w:val="000000"/>
                <w:sz w:val="20"/>
                <w:szCs w:val="20"/>
              </w:rPr>
            </w:pPr>
            <w:r w:rsidRPr="00CB2647">
              <w:rPr>
                <w:rFonts w:cs="Times New Roman"/>
                <w:sz w:val="20"/>
                <w:szCs w:val="20"/>
              </w:rPr>
              <w:t>To</w:t>
            </w:r>
            <w:r w:rsidR="00161E21" w:rsidRPr="00CB2647">
              <w:rPr>
                <w:rFonts w:cs="Times New Roman"/>
                <w:sz w:val="20"/>
                <w:szCs w:val="20"/>
              </w:rPr>
              <w:t>plam anestezik madde kullanımı</w:t>
            </w:r>
          </w:p>
        </w:tc>
        <w:tc>
          <w:tcPr>
            <w:tcW w:w="2197" w:type="dxa"/>
            <w:tcBorders>
              <w:top w:val="none" w:sz="0" w:space="0" w:color="auto"/>
              <w:bottom w:val="none" w:sz="0" w:space="0" w:color="auto"/>
            </w:tcBorders>
            <w:vAlign w:val="center"/>
          </w:tcPr>
          <w:p w:rsidR="00BE3E76" w:rsidRPr="00CB2647" w:rsidRDefault="00BE3E76" w:rsidP="00280FD0">
            <w:pPr>
              <w:jc w:val="center"/>
              <w:cnfStyle w:val="000000100000"/>
              <w:rPr>
                <w:rFonts w:cs="Times New Roman"/>
                <w:sz w:val="20"/>
                <w:szCs w:val="20"/>
              </w:rPr>
            </w:pPr>
            <w:r w:rsidRPr="00CB2647">
              <w:rPr>
                <w:rFonts w:cs="Times New Roman"/>
                <w:sz w:val="20"/>
                <w:szCs w:val="20"/>
              </w:rPr>
              <w:t>11</w:t>
            </w:r>
            <w:r w:rsidR="00280FD0" w:rsidRPr="00CB2647">
              <w:rPr>
                <w:rFonts w:cs="Times New Roman"/>
                <w:sz w:val="20"/>
                <w:szCs w:val="20"/>
              </w:rPr>
              <w:t>,</w:t>
            </w:r>
            <w:r w:rsidRPr="00CB2647">
              <w:rPr>
                <w:rFonts w:cs="Times New Roman"/>
                <w:sz w:val="20"/>
                <w:szCs w:val="20"/>
              </w:rPr>
              <w:t>08±3</w:t>
            </w:r>
            <w:r w:rsidR="00280FD0" w:rsidRPr="00CB2647">
              <w:rPr>
                <w:rFonts w:cs="Times New Roman"/>
                <w:sz w:val="20"/>
                <w:szCs w:val="20"/>
              </w:rPr>
              <w:t>,</w:t>
            </w:r>
            <w:r w:rsidRPr="00CB2647">
              <w:rPr>
                <w:rFonts w:cs="Times New Roman"/>
                <w:sz w:val="20"/>
                <w:szCs w:val="20"/>
              </w:rPr>
              <w:t>83</w:t>
            </w:r>
          </w:p>
        </w:tc>
        <w:tc>
          <w:tcPr>
            <w:tcW w:w="2197" w:type="dxa"/>
            <w:tcBorders>
              <w:top w:val="none" w:sz="0" w:space="0" w:color="auto"/>
              <w:bottom w:val="none" w:sz="0" w:space="0" w:color="auto"/>
            </w:tcBorders>
            <w:vAlign w:val="center"/>
          </w:tcPr>
          <w:p w:rsidR="00BE3E76" w:rsidRPr="00CB2647" w:rsidRDefault="00BE3E76" w:rsidP="00280FD0">
            <w:pPr>
              <w:jc w:val="center"/>
              <w:cnfStyle w:val="000000100000"/>
              <w:rPr>
                <w:rFonts w:cs="Times New Roman"/>
                <w:sz w:val="20"/>
                <w:szCs w:val="20"/>
              </w:rPr>
            </w:pPr>
            <w:r w:rsidRPr="00CB2647">
              <w:rPr>
                <w:rFonts w:cs="Times New Roman"/>
                <w:sz w:val="20"/>
                <w:szCs w:val="20"/>
              </w:rPr>
              <w:t>11</w:t>
            </w:r>
            <w:r w:rsidR="00280FD0" w:rsidRPr="00CB2647">
              <w:rPr>
                <w:rFonts w:cs="Times New Roman"/>
                <w:sz w:val="20"/>
                <w:szCs w:val="20"/>
              </w:rPr>
              <w:t>,</w:t>
            </w:r>
            <w:r w:rsidRPr="00CB2647">
              <w:rPr>
                <w:rFonts w:cs="Times New Roman"/>
                <w:sz w:val="20"/>
                <w:szCs w:val="20"/>
              </w:rPr>
              <w:t>87±5</w:t>
            </w:r>
            <w:r w:rsidR="00280FD0" w:rsidRPr="00CB2647">
              <w:rPr>
                <w:rFonts w:cs="Times New Roman"/>
                <w:sz w:val="20"/>
                <w:szCs w:val="20"/>
              </w:rPr>
              <w:t>,</w:t>
            </w:r>
            <w:r w:rsidRPr="00CB2647">
              <w:rPr>
                <w:rFonts w:cs="Times New Roman"/>
                <w:sz w:val="20"/>
                <w:szCs w:val="20"/>
              </w:rPr>
              <w:t>07</w:t>
            </w:r>
          </w:p>
        </w:tc>
        <w:tc>
          <w:tcPr>
            <w:tcW w:w="636" w:type="dxa"/>
            <w:tcBorders>
              <w:top w:val="none" w:sz="0" w:space="0" w:color="auto"/>
              <w:bottom w:val="none" w:sz="0" w:space="0" w:color="auto"/>
              <w:right w:val="none" w:sz="0" w:space="0" w:color="auto"/>
            </w:tcBorders>
            <w:vAlign w:val="center"/>
          </w:tcPr>
          <w:p w:rsidR="00BE3E76" w:rsidRPr="00CB2647" w:rsidRDefault="00BE3E76" w:rsidP="00280FD0">
            <w:pPr>
              <w:jc w:val="center"/>
              <w:cnfStyle w:val="000000100000"/>
              <w:rPr>
                <w:rFonts w:cs="Times New Roman"/>
                <w:sz w:val="20"/>
                <w:szCs w:val="20"/>
              </w:rPr>
            </w:pPr>
            <w:r w:rsidRPr="00CB2647">
              <w:rPr>
                <w:rFonts w:cs="Times New Roman"/>
                <w:sz w:val="20"/>
                <w:szCs w:val="20"/>
              </w:rPr>
              <w:t>0</w:t>
            </w:r>
            <w:r w:rsidR="00280FD0" w:rsidRPr="00CB2647">
              <w:rPr>
                <w:rFonts w:cs="Times New Roman"/>
                <w:sz w:val="20"/>
                <w:szCs w:val="20"/>
              </w:rPr>
              <w:t>,</w:t>
            </w:r>
            <w:r w:rsidRPr="00CB2647">
              <w:rPr>
                <w:rFonts w:cs="Times New Roman"/>
                <w:sz w:val="20"/>
                <w:szCs w:val="20"/>
              </w:rPr>
              <w:t>15</w:t>
            </w:r>
          </w:p>
        </w:tc>
      </w:tr>
      <w:tr w:rsidR="00BE3E76" w:rsidRPr="00CB2647" w:rsidTr="001A37CF">
        <w:tc>
          <w:tcPr>
            <w:cnfStyle w:val="001000000000"/>
            <w:tcW w:w="3402" w:type="dxa"/>
          </w:tcPr>
          <w:p w:rsidR="00BE3E76" w:rsidRPr="00CB2647" w:rsidRDefault="00161E21" w:rsidP="0054243C">
            <w:pPr>
              <w:rPr>
                <w:rFonts w:eastAsia="Calibri" w:cs="Times New Roman"/>
                <w:color w:val="000000"/>
                <w:sz w:val="20"/>
                <w:szCs w:val="20"/>
              </w:rPr>
            </w:pPr>
            <w:r w:rsidRPr="00CB2647">
              <w:rPr>
                <w:rFonts w:eastAsia="Calibri" w:cs="Times New Roman"/>
                <w:color w:val="000000"/>
                <w:sz w:val="20"/>
                <w:szCs w:val="20"/>
              </w:rPr>
              <w:t>Fertilizasyon oranı</w:t>
            </w:r>
            <w:r w:rsidR="00BE3E76" w:rsidRPr="00CB2647">
              <w:rPr>
                <w:rFonts w:eastAsia="Calibri" w:cs="Times New Roman"/>
                <w:color w:val="000000"/>
                <w:sz w:val="20"/>
                <w:szCs w:val="20"/>
              </w:rPr>
              <w:t xml:space="preserve"> (%)</w:t>
            </w:r>
          </w:p>
        </w:tc>
        <w:tc>
          <w:tcPr>
            <w:tcW w:w="2197" w:type="dxa"/>
            <w:vAlign w:val="center"/>
          </w:tcPr>
          <w:p w:rsidR="00BE3E76" w:rsidRPr="00CB2647" w:rsidRDefault="00BE3E76" w:rsidP="00280FD0">
            <w:pPr>
              <w:jc w:val="center"/>
              <w:cnfStyle w:val="000000000000"/>
              <w:rPr>
                <w:rFonts w:cs="Times New Roman"/>
                <w:sz w:val="20"/>
                <w:szCs w:val="20"/>
              </w:rPr>
            </w:pPr>
            <w:r w:rsidRPr="00CB2647">
              <w:rPr>
                <w:rFonts w:cs="Times New Roman"/>
                <w:sz w:val="20"/>
                <w:szCs w:val="20"/>
              </w:rPr>
              <w:t>66</w:t>
            </w:r>
            <w:r w:rsidR="00280FD0" w:rsidRPr="00CB2647">
              <w:rPr>
                <w:rFonts w:cs="Times New Roman"/>
                <w:sz w:val="20"/>
                <w:szCs w:val="20"/>
              </w:rPr>
              <w:t>,</w:t>
            </w:r>
            <w:r w:rsidRPr="00CB2647">
              <w:rPr>
                <w:rFonts w:cs="Times New Roman"/>
                <w:sz w:val="20"/>
                <w:szCs w:val="20"/>
              </w:rPr>
              <w:t>11±5</w:t>
            </w:r>
            <w:r w:rsidR="00280FD0" w:rsidRPr="00CB2647">
              <w:rPr>
                <w:rFonts w:cs="Times New Roman"/>
                <w:sz w:val="20"/>
                <w:szCs w:val="20"/>
              </w:rPr>
              <w:t>,</w:t>
            </w:r>
            <w:r w:rsidRPr="00CB2647">
              <w:rPr>
                <w:rFonts w:cs="Times New Roman"/>
                <w:sz w:val="20"/>
                <w:szCs w:val="20"/>
              </w:rPr>
              <w:t>71</w:t>
            </w:r>
          </w:p>
        </w:tc>
        <w:tc>
          <w:tcPr>
            <w:tcW w:w="2197" w:type="dxa"/>
            <w:vAlign w:val="center"/>
          </w:tcPr>
          <w:p w:rsidR="00BE3E76" w:rsidRPr="00CB2647" w:rsidRDefault="00BE3E76" w:rsidP="00280FD0">
            <w:pPr>
              <w:jc w:val="center"/>
              <w:cnfStyle w:val="000000000000"/>
              <w:rPr>
                <w:rFonts w:cs="Times New Roman"/>
                <w:sz w:val="20"/>
                <w:szCs w:val="20"/>
              </w:rPr>
            </w:pPr>
            <w:r w:rsidRPr="00CB2647">
              <w:rPr>
                <w:rFonts w:cs="Times New Roman"/>
                <w:sz w:val="20"/>
                <w:szCs w:val="20"/>
              </w:rPr>
              <w:t>63</w:t>
            </w:r>
            <w:r w:rsidR="00280FD0" w:rsidRPr="00CB2647">
              <w:rPr>
                <w:rFonts w:cs="Times New Roman"/>
                <w:sz w:val="20"/>
                <w:szCs w:val="20"/>
              </w:rPr>
              <w:t>,</w:t>
            </w:r>
            <w:r w:rsidRPr="00CB2647">
              <w:rPr>
                <w:rFonts w:cs="Times New Roman"/>
                <w:sz w:val="20"/>
                <w:szCs w:val="20"/>
              </w:rPr>
              <w:t>15±5</w:t>
            </w:r>
            <w:r w:rsidR="00280FD0" w:rsidRPr="00CB2647">
              <w:rPr>
                <w:rFonts w:cs="Times New Roman"/>
                <w:sz w:val="20"/>
                <w:szCs w:val="20"/>
              </w:rPr>
              <w:t>,</w:t>
            </w:r>
            <w:r w:rsidRPr="00CB2647">
              <w:rPr>
                <w:rFonts w:cs="Times New Roman"/>
                <w:sz w:val="20"/>
                <w:szCs w:val="20"/>
              </w:rPr>
              <w:t>97</w:t>
            </w:r>
          </w:p>
        </w:tc>
        <w:tc>
          <w:tcPr>
            <w:tcW w:w="636" w:type="dxa"/>
            <w:vAlign w:val="center"/>
          </w:tcPr>
          <w:p w:rsidR="00BE3E76" w:rsidRPr="00CB2647" w:rsidRDefault="00BE3E76" w:rsidP="00280FD0">
            <w:pPr>
              <w:jc w:val="center"/>
              <w:cnfStyle w:val="000000000000"/>
              <w:rPr>
                <w:rFonts w:cs="Times New Roman"/>
                <w:sz w:val="20"/>
                <w:szCs w:val="20"/>
              </w:rPr>
            </w:pPr>
            <w:r w:rsidRPr="00CB2647">
              <w:rPr>
                <w:rFonts w:cs="Times New Roman"/>
                <w:sz w:val="20"/>
                <w:szCs w:val="20"/>
              </w:rPr>
              <w:t>0</w:t>
            </w:r>
            <w:r w:rsidR="00280FD0" w:rsidRPr="00CB2647">
              <w:rPr>
                <w:rFonts w:cs="Times New Roman"/>
                <w:sz w:val="20"/>
                <w:szCs w:val="20"/>
              </w:rPr>
              <w:t>,</w:t>
            </w:r>
            <w:r w:rsidRPr="00CB2647">
              <w:rPr>
                <w:rFonts w:cs="Times New Roman"/>
                <w:sz w:val="20"/>
                <w:szCs w:val="20"/>
              </w:rPr>
              <w:t>72</w:t>
            </w:r>
          </w:p>
        </w:tc>
      </w:tr>
      <w:tr w:rsidR="00BE3E76" w:rsidRPr="00CB2647" w:rsidTr="001A37CF">
        <w:trPr>
          <w:cnfStyle w:val="000000100000"/>
        </w:trPr>
        <w:tc>
          <w:tcPr>
            <w:cnfStyle w:val="001000000000"/>
            <w:tcW w:w="3402" w:type="dxa"/>
            <w:tcBorders>
              <w:top w:val="none" w:sz="0" w:space="0" w:color="auto"/>
              <w:left w:val="none" w:sz="0" w:space="0" w:color="auto"/>
              <w:bottom w:val="none" w:sz="0" w:space="0" w:color="auto"/>
            </w:tcBorders>
          </w:tcPr>
          <w:p w:rsidR="00BE3E76" w:rsidRPr="00CB2647" w:rsidRDefault="00161E21" w:rsidP="0054243C">
            <w:pPr>
              <w:rPr>
                <w:rFonts w:eastAsia="Calibri" w:cs="Times New Roman"/>
                <w:color w:val="000000"/>
                <w:sz w:val="20"/>
                <w:szCs w:val="20"/>
              </w:rPr>
            </w:pPr>
            <w:r w:rsidRPr="00CB2647">
              <w:rPr>
                <w:rFonts w:eastAsia="Calibri" w:cs="Times New Roman"/>
                <w:color w:val="000000"/>
                <w:sz w:val="20"/>
                <w:szCs w:val="20"/>
              </w:rPr>
              <w:t>Klivaj sayısı</w:t>
            </w:r>
          </w:p>
        </w:tc>
        <w:tc>
          <w:tcPr>
            <w:tcW w:w="2197" w:type="dxa"/>
            <w:tcBorders>
              <w:top w:val="none" w:sz="0" w:space="0" w:color="auto"/>
              <w:bottom w:val="none" w:sz="0" w:space="0" w:color="auto"/>
            </w:tcBorders>
            <w:vAlign w:val="center"/>
          </w:tcPr>
          <w:p w:rsidR="00BE3E76" w:rsidRPr="00CB2647" w:rsidRDefault="00BE3E76" w:rsidP="00280FD0">
            <w:pPr>
              <w:jc w:val="center"/>
              <w:cnfStyle w:val="000000100000"/>
              <w:rPr>
                <w:rFonts w:cs="Times New Roman"/>
                <w:sz w:val="20"/>
                <w:szCs w:val="20"/>
              </w:rPr>
            </w:pPr>
            <w:r w:rsidRPr="00CB2647">
              <w:rPr>
                <w:rFonts w:cs="Times New Roman"/>
                <w:sz w:val="20"/>
                <w:szCs w:val="20"/>
              </w:rPr>
              <w:t>1</w:t>
            </w:r>
            <w:r w:rsidR="00280FD0" w:rsidRPr="00CB2647">
              <w:rPr>
                <w:rFonts w:cs="Times New Roman"/>
                <w:sz w:val="20"/>
                <w:szCs w:val="20"/>
              </w:rPr>
              <w:t>,</w:t>
            </w:r>
            <w:r w:rsidRPr="00CB2647">
              <w:rPr>
                <w:rFonts w:cs="Times New Roman"/>
                <w:sz w:val="20"/>
                <w:szCs w:val="20"/>
              </w:rPr>
              <w:t>48±0</w:t>
            </w:r>
            <w:r w:rsidR="00280FD0" w:rsidRPr="00CB2647">
              <w:rPr>
                <w:rFonts w:cs="Times New Roman"/>
                <w:sz w:val="20"/>
                <w:szCs w:val="20"/>
              </w:rPr>
              <w:t>,</w:t>
            </w:r>
            <w:r w:rsidRPr="00CB2647">
              <w:rPr>
                <w:rFonts w:cs="Times New Roman"/>
                <w:sz w:val="20"/>
                <w:szCs w:val="20"/>
              </w:rPr>
              <w:t>11</w:t>
            </w:r>
          </w:p>
        </w:tc>
        <w:tc>
          <w:tcPr>
            <w:tcW w:w="2197" w:type="dxa"/>
            <w:tcBorders>
              <w:top w:val="none" w:sz="0" w:space="0" w:color="auto"/>
              <w:bottom w:val="none" w:sz="0" w:space="0" w:color="auto"/>
            </w:tcBorders>
            <w:vAlign w:val="center"/>
          </w:tcPr>
          <w:p w:rsidR="00BE3E76" w:rsidRPr="00CB2647" w:rsidRDefault="00BE3E76" w:rsidP="00280FD0">
            <w:pPr>
              <w:jc w:val="center"/>
              <w:cnfStyle w:val="000000100000"/>
              <w:rPr>
                <w:rFonts w:cs="Times New Roman"/>
                <w:sz w:val="20"/>
                <w:szCs w:val="20"/>
              </w:rPr>
            </w:pPr>
            <w:r w:rsidRPr="00CB2647">
              <w:rPr>
                <w:rFonts w:cs="Times New Roman"/>
                <w:sz w:val="20"/>
                <w:szCs w:val="20"/>
              </w:rPr>
              <w:t>1</w:t>
            </w:r>
            <w:r w:rsidR="00280FD0" w:rsidRPr="00CB2647">
              <w:rPr>
                <w:rFonts w:cs="Times New Roman"/>
                <w:sz w:val="20"/>
                <w:szCs w:val="20"/>
              </w:rPr>
              <w:t>,</w:t>
            </w:r>
            <w:r w:rsidRPr="00CB2647">
              <w:rPr>
                <w:rFonts w:cs="Times New Roman"/>
                <w:sz w:val="20"/>
                <w:szCs w:val="20"/>
              </w:rPr>
              <w:t>57±0</w:t>
            </w:r>
            <w:r w:rsidR="00280FD0" w:rsidRPr="00CB2647">
              <w:rPr>
                <w:rFonts w:cs="Times New Roman"/>
                <w:sz w:val="20"/>
                <w:szCs w:val="20"/>
              </w:rPr>
              <w:t>,</w:t>
            </w:r>
            <w:r w:rsidRPr="00CB2647">
              <w:rPr>
                <w:rFonts w:cs="Times New Roman"/>
                <w:sz w:val="20"/>
                <w:szCs w:val="20"/>
              </w:rPr>
              <w:t>13</w:t>
            </w:r>
          </w:p>
        </w:tc>
        <w:tc>
          <w:tcPr>
            <w:tcW w:w="636" w:type="dxa"/>
            <w:tcBorders>
              <w:top w:val="none" w:sz="0" w:space="0" w:color="auto"/>
              <w:bottom w:val="none" w:sz="0" w:space="0" w:color="auto"/>
              <w:right w:val="none" w:sz="0" w:space="0" w:color="auto"/>
            </w:tcBorders>
            <w:vAlign w:val="center"/>
          </w:tcPr>
          <w:p w:rsidR="00BE3E76" w:rsidRPr="00CB2647" w:rsidRDefault="00BE3E76" w:rsidP="00280FD0">
            <w:pPr>
              <w:jc w:val="center"/>
              <w:cnfStyle w:val="000000100000"/>
              <w:rPr>
                <w:rFonts w:cs="Times New Roman"/>
                <w:sz w:val="20"/>
                <w:szCs w:val="20"/>
              </w:rPr>
            </w:pPr>
            <w:r w:rsidRPr="00CB2647">
              <w:rPr>
                <w:rFonts w:cs="Times New Roman"/>
                <w:sz w:val="20"/>
                <w:szCs w:val="20"/>
              </w:rPr>
              <w:t>0</w:t>
            </w:r>
            <w:r w:rsidR="00280FD0" w:rsidRPr="00CB2647">
              <w:rPr>
                <w:rFonts w:cs="Times New Roman"/>
                <w:sz w:val="20"/>
                <w:szCs w:val="20"/>
              </w:rPr>
              <w:t>,</w:t>
            </w:r>
            <w:r w:rsidRPr="00CB2647">
              <w:rPr>
                <w:rFonts w:cs="Times New Roman"/>
                <w:sz w:val="20"/>
                <w:szCs w:val="20"/>
              </w:rPr>
              <w:t>61</w:t>
            </w:r>
          </w:p>
        </w:tc>
      </w:tr>
      <w:tr w:rsidR="00BE3E76" w:rsidRPr="00CB2647" w:rsidTr="001A37CF">
        <w:tc>
          <w:tcPr>
            <w:cnfStyle w:val="001000000000"/>
            <w:tcW w:w="3402" w:type="dxa"/>
          </w:tcPr>
          <w:p w:rsidR="00BE3E76" w:rsidRPr="00CB2647" w:rsidRDefault="00BE3E76" w:rsidP="0054243C">
            <w:pPr>
              <w:rPr>
                <w:rFonts w:eastAsia="Calibri" w:cs="Times New Roman"/>
                <w:color w:val="000000"/>
                <w:sz w:val="20"/>
                <w:szCs w:val="20"/>
              </w:rPr>
            </w:pPr>
            <w:r w:rsidRPr="00CB2647">
              <w:rPr>
                <w:rFonts w:eastAsia="Calibri" w:cs="Times New Roman"/>
                <w:color w:val="000000"/>
                <w:sz w:val="20"/>
                <w:szCs w:val="20"/>
              </w:rPr>
              <w:t>Embr</w:t>
            </w:r>
            <w:r w:rsidR="00161E21" w:rsidRPr="00CB2647">
              <w:rPr>
                <w:rFonts w:eastAsia="Calibri" w:cs="Times New Roman"/>
                <w:color w:val="000000"/>
                <w:sz w:val="20"/>
                <w:szCs w:val="20"/>
              </w:rPr>
              <w:t>iyo sayısı</w:t>
            </w:r>
          </w:p>
        </w:tc>
        <w:tc>
          <w:tcPr>
            <w:tcW w:w="2197" w:type="dxa"/>
            <w:vAlign w:val="center"/>
          </w:tcPr>
          <w:p w:rsidR="00BE3E76" w:rsidRPr="00CB2647" w:rsidRDefault="00BE3E76" w:rsidP="00280FD0">
            <w:pPr>
              <w:jc w:val="center"/>
              <w:cnfStyle w:val="000000000000"/>
              <w:rPr>
                <w:rFonts w:cs="Times New Roman"/>
                <w:sz w:val="20"/>
                <w:szCs w:val="20"/>
              </w:rPr>
            </w:pPr>
            <w:r w:rsidRPr="00CB2647">
              <w:rPr>
                <w:rFonts w:cs="Times New Roman"/>
                <w:sz w:val="20"/>
                <w:szCs w:val="20"/>
              </w:rPr>
              <w:t>1</w:t>
            </w:r>
            <w:r w:rsidR="00280FD0" w:rsidRPr="00CB2647">
              <w:rPr>
                <w:rFonts w:cs="Times New Roman"/>
                <w:sz w:val="20"/>
                <w:szCs w:val="20"/>
              </w:rPr>
              <w:t>,</w:t>
            </w:r>
            <w:r w:rsidRPr="00CB2647">
              <w:rPr>
                <w:rFonts w:cs="Times New Roman"/>
                <w:sz w:val="20"/>
                <w:szCs w:val="20"/>
              </w:rPr>
              <w:t>53±0</w:t>
            </w:r>
            <w:r w:rsidR="00280FD0" w:rsidRPr="00CB2647">
              <w:rPr>
                <w:rFonts w:cs="Times New Roman"/>
                <w:sz w:val="20"/>
                <w:szCs w:val="20"/>
              </w:rPr>
              <w:t>,</w:t>
            </w:r>
            <w:r w:rsidRPr="00CB2647">
              <w:rPr>
                <w:rFonts w:cs="Times New Roman"/>
                <w:sz w:val="20"/>
                <w:szCs w:val="20"/>
              </w:rPr>
              <w:t>1</w:t>
            </w:r>
          </w:p>
        </w:tc>
        <w:tc>
          <w:tcPr>
            <w:tcW w:w="2197" w:type="dxa"/>
            <w:vAlign w:val="center"/>
          </w:tcPr>
          <w:p w:rsidR="00BE3E76" w:rsidRPr="00CB2647" w:rsidRDefault="00BE3E76" w:rsidP="00280FD0">
            <w:pPr>
              <w:jc w:val="center"/>
              <w:cnfStyle w:val="000000000000"/>
              <w:rPr>
                <w:rFonts w:cs="Times New Roman"/>
                <w:sz w:val="20"/>
                <w:szCs w:val="20"/>
              </w:rPr>
            </w:pPr>
            <w:r w:rsidRPr="00CB2647">
              <w:rPr>
                <w:rFonts w:cs="Times New Roman"/>
                <w:sz w:val="20"/>
                <w:szCs w:val="20"/>
              </w:rPr>
              <w:t>1</w:t>
            </w:r>
            <w:r w:rsidR="00280FD0" w:rsidRPr="00CB2647">
              <w:rPr>
                <w:rFonts w:cs="Times New Roman"/>
                <w:sz w:val="20"/>
                <w:szCs w:val="20"/>
              </w:rPr>
              <w:t>,</w:t>
            </w:r>
            <w:r w:rsidRPr="00CB2647">
              <w:rPr>
                <w:rFonts w:cs="Times New Roman"/>
                <w:sz w:val="20"/>
                <w:szCs w:val="20"/>
              </w:rPr>
              <w:t>57±0</w:t>
            </w:r>
            <w:r w:rsidR="00280FD0" w:rsidRPr="00CB2647">
              <w:rPr>
                <w:rFonts w:cs="Times New Roman"/>
                <w:sz w:val="20"/>
                <w:szCs w:val="20"/>
              </w:rPr>
              <w:t>,</w:t>
            </w:r>
            <w:r w:rsidRPr="00CB2647">
              <w:rPr>
                <w:rFonts w:cs="Times New Roman"/>
                <w:sz w:val="20"/>
                <w:szCs w:val="20"/>
              </w:rPr>
              <w:t>13</w:t>
            </w:r>
          </w:p>
        </w:tc>
        <w:tc>
          <w:tcPr>
            <w:tcW w:w="636" w:type="dxa"/>
            <w:vAlign w:val="center"/>
          </w:tcPr>
          <w:p w:rsidR="00BE3E76" w:rsidRPr="00CB2647" w:rsidRDefault="00280FD0" w:rsidP="00280FD0">
            <w:pPr>
              <w:jc w:val="center"/>
              <w:cnfStyle w:val="000000000000"/>
              <w:rPr>
                <w:rFonts w:cs="Times New Roman"/>
                <w:sz w:val="20"/>
                <w:szCs w:val="20"/>
              </w:rPr>
            </w:pPr>
            <w:r w:rsidRPr="00CB2647">
              <w:rPr>
                <w:rFonts w:cs="Times New Roman"/>
                <w:sz w:val="20"/>
                <w:szCs w:val="20"/>
              </w:rPr>
              <w:t>0,</w:t>
            </w:r>
            <w:r w:rsidR="00BE3E76" w:rsidRPr="00CB2647">
              <w:rPr>
                <w:rFonts w:cs="Times New Roman"/>
                <w:sz w:val="20"/>
                <w:szCs w:val="20"/>
              </w:rPr>
              <w:t>8</w:t>
            </w:r>
          </w:p>
        </w:tc>
      </w:tr>
      <w:tr w:rsidR="00BE3E76" w:rsidRPr="00CB2647" w:rsidTr="001A37CF">
        <w:trPr>
          <w:cnfStyle w:val="000000100000"/>
        </w:trPr>
        <w:tc>
          <w:tcPr>
            <w:cnfStyle w:val="001000000000"/>
            <w:tcW w:w="3402" w:type="dxa"/>
            <w:tcBorders>
              <w:top w:val="none" w:sz="0" w:space="0" w:color="auto"/>
              <w:left w:val="none" w:sz="0" w:space="0" w:color="auto"/>
              <w:bottom w:val="none" w:sz="0" w:space="0" w:color="auto"/>
            </w:tcBorders>
          </w:tcPr>
          <w:p w:rsidR="00BE3E76" w:rsidRPr="00CB2647" w:rsidRDefault="00161E21" w:rsidP="0054243C">
            <w:pPr>
              <w:rPr>
                <w:rFonts w:eastAsia="Calibri" w:cs="Times New Roman"/>
                <w:color w:val="000000"/>
                <w:sz w:val="20"/>
                <w:szCs w:val="20"/>
              </w:rPr>
            </w:pPr>
            <w:r w:rsidRPr="00CB2647">
              <w:rPr>
                <w:rFonts w:eastAsia="Calibri" w:cs="Times New Roman"/>
                <w:color w:val="000000"/>
                <w:sz w:val="20"/>
                <w:szCs w:val="20"/>
              </w:rPr>
              <w:t>Transfer edilen embriyo sayısı</w:t>
            </w:r>
          </w:p>
        </w:tc>
        <w:tc>
          <w:tcPr>
            <w:tcW w:w="2197" w:type="dxa"/>
            <w:tcBorders>
              <w:top w:val="none" w:sz="0" w:space="0" w:color="auto"/>
              <w:bottom w:val="none" w:sz="0" w:space="0" w:color="auto"/>
            </w:tcBorders>
            <w:vAlign w:val="center"/>
          </w:tcPr>
          <w:p w:rsidR="00BE3E76" w:rsidRPr="00CB2647" w:rsidRDefault="00BE3E76" w:rsidP="00280FD0">
            <w:pPr>
              <w:jc w:val="center"/>
              <w:cnfStyle w:val="000000100000"/>
              <w:rPr>
                <w:rFonts w:cs="Times New Roman"/>
                <w:sz w:val="20"/>
                <w:szCs w:val="20"/>
              </w:rPr>
            </w:pPr>
            <w:r w:rsidRPr="00CB2647">
              <w:rPr>
                <w:rFonts w:cs="Times New Roman"/>
                <w:sz w:val="20"/>
                <w:szCs w:val="20"/>
              </w:rPr>
              <w:t>1</w:t>
            </w:r>
            <w:r w:rsidR="00280FD0" w:rsidRPr="00CB2647">
              <w:rPr>
                <w:rFonts w:cs="Times New Roman"/>
                <w:sz w:val="20"/>
                <w:szCs w:val="20"/>
              </w:rPr>
              <w:t>,</w:t>
            </w:r>
            <w:r w:rsidRPr="00CB2647">
              <w:rPr>
                <w:rFonts w:cs="Times New Roman"/>
                <w:sz w:val="20"/>
                <w:szCs w:val="20"/>
              </w:rPr>
              <w:t>37±0</w:t>
            </w:r>
            <w:r w:rsidR="00280FD0" w:rsidRPr="00CB2647">
              <w:rPr>
                <w:rFonts w:cs="Times New Roman"/>
                <w:sz w:val="20"/>
                <w:szCs w:val="20"/>
              </w:rPr>
              <w:t>,</w:t>
            </w:r>
            <w:r w:rsidRPr="00CB2647">
              <w:rPr>
                <w:rFonts w:cs="Times New Roman"/>
                <w:sz w:val="20"/>
                <w:szCs w:val="20"/>
              </w:rPr>
              <w:t>09</w:t>
            </w:r>
          </w:p>
        </w:tc>
        <w:tc>
          <w:tcPr>
            <w:tcW w:w="2197" w:type="dxa"/>
            <w:tcBorders>
              <w:top w:val="none" w:sz="0" w:space="0" w:color="auto"/>
              <w:bottom w:val="none" w:sz="0" w:space="0" w:color="auto"/>
            </w:tcBorders>
            <w:vAlign w:val="center"/>
          </w:tcPr>
          <w:p w:rsidR="00BE3E76" w:rsidRPr="00CB2647" w:rsidRDefault="00BE3E76" w:rsidP="00280FD0">
            <w:pPr>
              <w:jc w:val="center"/>
              <w:cnfStyle w:val="000000100000"/>
              <w:rPr>
                <w:rFonts w:cs="Times New Roman"/>
                <w:sz w:val="20"/>
                <w:szCs w:val="20"/>
              </w:rPr>
            </w:pPr>
            <w:r w:rsidRPr="00CB2647">
              <w:rPr>
                <w:rFonts w:cs="Times New Roman"/>
                <w:sz w:val="20"/>
                <w:szCs w:val="20"/>
              </w:rPr>
              <w:t>1</w:t>
            </w:r>
            <w:r w:rsidR="00280FD0" w:rsidRPr="00CB2647">
              <w:rPr>
                <w:rFonts w:cs="Times New Roman"/>
                <w:sz w:val="20"/>
                <w:szCs w:val="20"/>
              </w:rPr>
              <w:t>,</w:t>
            </w:r>
            <w:r w:rsidRPr="00CB2647">
              <w:rPr>
                <w:rFonts w:cs="Times New Roman"/>
                <w:sz w:val="20"/>
                <w:szCs w:val="20"/>
              </w:rPr>
              <w:t>33±0</w:t>
            </w:r>
            <w:r w:rsidR="00280FD0" w:rsidRPr="00CB2647">
              <w:rPr>
                <w:rFonts w:cs="Times New Roman"/>
                <w:sz w:val="20"/>
                <w:szCs w:val="20"/>
              </w:rPr>
              <w:t>,</w:t>
            </w:r>
            <w:r w:rsidRPr="00CB2647">
              <w:rPr>
                <w:rFonts w:cs="Times New Roman"/>
                <w:sz w:val="20"/>
                <w:szCs w:val="20"/>
              </w:rPr>
              <w:t>09</w:t>
            </w:r>
          </w:p>
        </w:tc>
        <w:tc>
          <w:tcPr>
            <w:tcW w:w="636" w:type="dxa"/>
            <w:tcBorders>
              <w:top w:val="none" w:sz="0" w:space="0" w:color="auto"/>
              <w:bottom w:val="none" w:sz="0" w:space="0" w:color="auto"/>
              <w:right w:val="none" w:sz="0" w:space="0" w:color="auto"/>
            </w:tcBorders>
            <w:vAlign w:val="center"/>
          </w:tcPr>
          <w:p w:rsidR="00BE3E76" w:rsidRPr="00CB2647" w:rsidRDefault="00BE3E76" w:rsidP="00280FD0">
            <w:pPr>
              <w:jc w:val="center"/>
              <w:cnfStyle w:val="000000100000"/>
              <w:rPr>
                <w:rFonts w:cs="Times New Roman"/>
                <w:sz w:val="20"/>
                <w:szCs w:val="20"/>
              </w:rPr>
            </w:pPr>
            <w:r w:rsidRPr="00CB2647">
              <w:rPr>
                <w:rFonts w:cs="Times New Roman"/>
                <w:sz w:val="20"/>
                <w:szCs w:val="20"/>
              </w:rPr>
              <w:t>0</w:t>
            </w:r>
            <w:r w:rsidR="00280FD0" w:rsidRPr="00CB2647">
              <w:rPr>
                <w:rFonts w:cs="Times New Roman"/>
                <w:sz w:val="20"/>
                <w:szCs w:val="20"/>
              </w:rPr>
              <w:t>,</w:t>
            </w:r>
            <w:r w:rsidRPr="00CB2647">
              <w:rPr>
                <w:rFonts w:cs="Times New Roman"/>
                <w:sz w:val="20"/>
                <w:szCs w:val="20"/>
              </w:rPr>
              <w:t>78</w:t>
            </w:r>
          </w:p>
        </w:tc>
      </w:tr>
      <w:tr w:rsidR="00BE3E76" w:rsidRPr="00CB2647" w:rsidTr="001A37CF">
        <w:tc>
          <w:tcPr>
            <w:cnfStyle w:val="001000000000"/>
            <w:tcW w:w="3402" w:type="dxa"/>
          </w:tcPr>
          <w:p w:rsidR="00BE3E76" w:rsidRPr="00CB2647" w:rsidRDefault="00BE3E76" w:rsidP="0054243C">
            <w:pPr>
              <w:rPr>
                <w:rFonts w:eastAsia="Calibri" w:cs="Times New Roman"/>
                <w:color w:val="000000"/>
                <w:sz w:val="20"/>
                <w:szCs w:val="20"/>
              </w:rPr>
            </w:pPr>
            <w:r w:rsidRPr="00CB2647">
              <w:rPr>
                <w:rFonts w:eastAsia="Calibri" w:cs="Times New Roman"/>
                <w:color w:val="000000"/>
                <w:sz w:val="20"/>
                <w:szCs w:val="20"/>
              </w:rPr>
              <w:t>Grade 1 ET</w:t>
            </w:r>
            <w:r w:rsidR="00161E21" w:rsidRPr="00CB2647">
              <w:rPr>
                <w:rFonts w:eastAsia="Calibri" w:cs="Times New Roman"/>
                <w:color w:val="000000"/>
                <w:sz w:val="20"/>
                <w:szCs w:val="20"/>
              </w:rPr>
              <w:t xml:space="preserve"> sayısı</w:t>
            </w:r>
          </w:p>
        </w:tc>
        <w:tc>
          <w:tcPr>
            <w:tcW w:w="2197" w:type="dxa"/>
            <w:vAlign w:val="center"/>
          </w:tcPr>
          <w:p w:rsidR="00BE3E76" w:rsidRPr="00CB2647" w:rsidRDefault="00BE3E76" w:rsidP="00280FD0">
            <w:pPr>
              <w:jc w:val="center"/>
              <w:cnfStyle w:val="000000000000"/>
              <w:rPr>
                <w:rFonts w:cs="Times New Roman"/>
                <w:sz w:val="20"/>
                <w:szCs w:val="20"/>
              </w:rPr>
            </w:pPr>
            <w:r w:rsidRPr="00CB2647">
              <w:rPr>
                <w:rFonts w:cs="Times New Roman"/>
                <w:sz w:val="20"/>
                <w:szCs w:val="20"/>
              </w:rPr>
              <w:t>0</w:t>
            </w:r>
            <w:r w:rsidR="00280FD0" w:rsidRPr="00CB2647">
              <w:rPr>
                <w:rFonts w:cs="Times New Roman"/>
                <w:sz w:val="20"/>
                <w:szCs w:val="20"/>
              </w:rPr>
              <w:t>,</w:t>
            </w:r>
            <w:r w:rsidRPr="00CB2647">
              <w:rPr>
                <w:rFonts w:cs="Times New Roman"/>
                <w:sz w:val="20"/>
                <w:szCs w:val="20"/>
              </w:rPr>
              <w:t>59±0</w:t>
            </w:r>
            <w:r w:rsidR="00280FD0" w:rsidRPr="00CB2647">
              <w:rPr>
                <w:rFonts w:cs="Times New Roman"/>
                <w:sz w:val="20"/>
                <w:szCs w:val="20"/>
              </w:rPr>
              <w:t>,</w:t>
            </w:r>
            <w:r w:rsidRPr="00CB2647">
              <w:rPr>
                <w:rFonts w:cs="Times New Roman"/>
                <w:sz w:val="20"/>
                <w:szCs w:val="20"/>
              </w:rPr>
              <w:t>14</w:t>
            </w:r>
          </w:p>
        </w:tc>
        <w:tc>
          <w:tcPr>
            <w:tcW w:w="2197" w:type="dxa"/>
            <w:vAlign w:val="center"/>
          </w:tcPr>
          <w:p w:rsidR="00BE3E76" w:rsidRPr="00CB2647" w:rsidRDefault="00BE3E76" w:rsidP="00280FD0">
            <w:pPr>
              <w:jc w:val="center"/>
              <w:cnfStyle w:val="000000000000"/>
              <w:rPr>
                <w:rFonts w:cs="Times New Roman"/>
                <w:sz w:val="20"/>
                <w:szCs w:val="20"/>
              </w:rPr>
            </w:pPr>
            <w:r w:rsidRPr="00CB2647">
              <w:rPr>
                <w:rFonts w:cs="Times New Roman"/>
                <w:sz w:val="20"/>
                <w:szCs w:val="20"/>
              </w:rPr>
              <w:t>0</w:t>
            </w:r>
            <w:r w:rsidR="00280FD0" w:rsidRPr="00CB2647">
              <w:rPr>
                <w:rFonts w:cs="Times New Roman"/>
                <w:sz w:val="20"/>
                <w:szCs w:val="20"/>
              </w:rPr>
              <w:t>,</w:t>
            </w:r>
            <w:r w:rsidRPr="00CB2647">
              <w:rPr>
                <w:rFonts w:cs="Times New Roman"/>
                <w:sz w:val="20"/>
                <w:szCs w:val="20"/>
              </w:rPr>
              <w:t>48±0</w:t>
            </w:r>
            <w:r w:rsidR="00280FD0" w:rsidRPr="00CB2647">
              <w:rPr>
                <w:rFonts w:cs="Times New Roman"/>
                <w:sz w:val="20"/>
                <w:szCs w:val="20"/>
              </w:rPr>
              <w:t>,</w:t>
            </w:r>
            <w:r w:rsidRPr="00CB2647">
              <w:rPr>
                <w:rFonts w:cs="Times New Roman"/>
                <w:sz w:val="20"/>
                <w:szCs w:val="20"/>
              </w:rPr>
              <w:t>11</w:t>
            </w:r>
          </w:p>
        </w:tc>
        <w:tc>
          <w:tcPr>
            <w:tcW w:w="636" w:type="dxa"/>
            <w:vAlign w:val="center"/>
          </w:tcPr>
          <w:p w:rsidR="00BE3E76" w:rsidRPr="00CB2647" w:rsidRDefault="00BE3E76" w:rsidP="00280FD0">
            <w:pPr>
              <w:jc w:val="center"/>
              <w:cnfStyle w:val="000000000000"/>
              <w:rPr>
                <w:rFonts w:cs="Times New Roman"/>
                <w:sz w:val="20"/>
                <w:szCs w:val="20"/>
              </w:rPr>
            </w:pPr>
            <w:r w:rsidRPr="00CB2647">
              <w:rPr>
                <w:rFonts w:cs="Times New Roman"/>
                <w:sz w:val="20"/>
                <w:szCs w:val="20"/>
              </w:rPr>
              <w:t>0</w:t>
            </w:r>
            <w:r w:rsidR="00280FD0" w:rsidRPr="00CB2647">
              <w:rPr>
                <w:rFonts w:cs="Times New Roman"/>
                <w:sz w:val="20"/>
                <w:szCs w:val="20"/>
              </w:rPr>
              <w:t>,</w:t>
            </w:r>
            <w:r w:rsidRPr="00CB2647">
              <w:rPr>
                <w:rFonts w:cs="Times New Roman"/>
                <w:sz w:val="20"/>
                <w:szCs w:val="20"/>
              </w:rPr>
              <w:t>54</w:t>
            </w:r>
          </w:p>
        </w:tc>
      </w:tr>
      <w:tr w:rsidR="00BE3E76" w:rsidRPr="00CB2647" w:rsidTr="001A37CF">
        <w:trPr>
          <w:cnfStyle w:val="000000100000"/>
        </w:trPr>
        <w:tc>
          <w:tcPr>
            <w:cnfStyle w:val="001000000000"/>
            <w:tcW w:w="3402" w:type="dxa"/>
            <w:tcBorders>
              <w:top w:val="none" w:sz="0" w:space="0" w:color="auto"/>
              <w:left w:val="none" w:sz="0" w:space="0" w:color="auto"/>
              <w:bottom w:val="none" w:sz="0" w:space="0" w:color="auto"/>
            </w:tcBorders>
          </w:tcPr>
          <w:p w:rsidR="00BE3E76" w:rsidRPr="00CB2647" w:rsidRDefault="00BE3E76" w:rsidP="0054243C">
            <w:pPr>
              <w:rPr>
                <w:rFonts w:eastAsia="Calibri" w:cs="Times New Roman"/>
                <w:color w:val="000000"/>
                <w:sz w:val="20"/>
                <w:szCs w:val="20"/>
              </w:rPr>
            </w:pPr>
            <w:r w:rsidRPr="00CB2647">
              <w:rPr>
                <w:rFonts w:eastAsia="Calibri" w:cs="Times New Roman"/>
                <w:color w:val="000000"/>
                <w:sz w:val="20"/>
                <w:szCs w:val="20"/>
              </w:rPr>
              <w:t>Grade 2 ET</w:t>
            </w:r>
            <w:r w:rsidR="00161E21" w:rsidRPr="00CB2647">
              <w:rPr>
                <w:rFonts w:eastAsia="Calibri" w:cs="Times New Roman"/>
                <w:color w:val="000000"/>
                <w:sz w:val="20"/>
                <w:szCs w:val="20"/>
              </w:rPr>
              <w:t xml:space="preserve"> sayısı</w:t>
            </w:r>
          </w:p>
        </w:tc>
        <w:tc>
          <w:tcPr>
            <w:tcW w:w="2197" w:type="dxa"/>
            <w:tcBorders>
              <w:top w:val="none" w:sz="0" w:space="0" w:color="auto"/>
              <w:bottom w:val="none" w:sz="0" w:space="0" w:color="auto"/>
            </w:tcBorders>
            <w:vAlign w:val="center"/>
          </w:tcPr>
          <w:p w:rsidR="00BE3E76" w:rsidRPr="00CB2647" w:rsidRDefault="00BE3E76" w:rsidP="00280FD0">
            <w:pPr>
              <w:jc w:val="center"/>
              <w:cnfStyle w:val="000000100000"/>
              <w:rPr>
                <w:rFonts w:cs="Times New Roman"/>
                <w:sz w:val="20"/>
                <w:szCs w:val="20"/>
              </w:rPr>
            </w:pPr>
            <w:r w:rsidRPr="00CB2647">
              <w:rPr>
                <w:rFonts w:cs="Times New Roman"/>
                <w:sz w:val="20"/>
                <w:szCs w:val="20"/>
              </w:rPr>
              <w:t>0</w:t>
            </w:r>
            <w:r w:rsidR="00280FD0" w:rsidRPr="00CB2647">
              <w:rPr>
                <w:rFonts w:cs="Times New Roman"/>
                <w:sz w:val="20"/>
                <w:szCs w:val="20"/>
              </w:rPr>
              <w:t>,</w:t>
            </w:r>
            <w:r w:rsidRPr="00CB2647">
              <w:rPr>
                <w:rFonts w:cs="Times New Roman"/>
                <w:sz w:val="20"/>
                <w:szCs w:val="20"/>
              </w:rPr>
              <w:t>77±0</w:t>
            </w:r>
            <w:r w:rsidR="00280FD0" w:rsidRPr="00CB2647">
              <w:rPr>
                <w:rFonts w:cs="Times New Roman"/>
                <w:sz w:val="20"/>
                <w:szCs w:val="20"/>
              </w:rPr>
              <w:t>,</w:t>
            </w:r>
            <w:r w:rsidRPr="00CB2647">
              <w:rPr>
                <w:rFonts w:cs="Times New Roman"/>
                <w:sz w:val="20"/>
                <w:szCs w:val="20"/>
              </w:rPr>
              <w:t>13</w:t>
            </w:r>
          </w:p>
        </w:tc>
        <w:tc>
          <w:tcPr>
            <w:tcW w:w="2197" w:type="dxa"/>
            <w:tcBorders>
              <w:top w:val="none" w:sz="0" w:space="0" w:color="auto"/>
              <w:bottom w:val="none" w:sz="0" w:space="0" w:color="auto"/>
            </w:tcBorders>
            <w:vAlign w:val="center"/>
          </w:tcPr>
          <w:p w:rsidR="00BE3E76" w:rsidRPr="00CB2647" w:rsidRDefault="00BE3E76" w:rsidP="00280FD0">
            <w:pPr>
              <w:jc w:val="center"/>
              <w:cnfStyle w:val="000000100000"/>
              <w:rPr>
                <w:rFonts w:cs="Times New Roman"/>
                <w:sz w:val="20"/>
                <w:szCs w:val="20"/>
              </w:rPr>
            </w:pPr>
            <w:r w:rsidRPr="00CB2647">
              <w:rPr>
                <w:rFonts w:cs="Times New Roman"/>
                <w:sz w:val="20"/>
                <w:szCs w:val="20"/>
              </w:rPr>
              <w:t>0</w:t>
            </w:r>
            <w:r w:rsidR="00280FD0" w:rsidRPr="00CB2647">
              <w:rPr>
                <w:rFonts w:cs="Times New Roman"/>
                <w:sz w:val="20"/>
                <w:szCs w:val="20"/>
              </w:rPr>
              <w:t>,</w:t>
            </w:r>
            <w:r w:rsidRPr="00CB2647">
              <w:rPr>
                <w:rFonts w:cs="Times New Roman"/>
                <w:sz w:val="20"/>
                <w:szCs w:val="20"/>
              </w:rPr>
              <w:t>88±0</w:t>
            </w:r>
            <w:r w:rsidR="00280FD0" w:rsidRPr="00CB2647">
              <w:rPr>
                <w:rFonts w:cs="Times New Roman"/>
                <w:sz w:val="20"/>
                <w:szCs w:val="20"/>
              </w:rPr>
              <w:t>,</w:t>
            </w:r>
            <w:r w:rsidRPr="00CB2647">
              <w:rPr>
                <w:rFonts w:cs="Times New Roman"/>
                <w:sz w:val="20"/>
                <w:szCs w:val="20"/>
              </w:rPr>
              <w:t>15</w:t>
            </w:r>
          </w:p>
        </w:tc>
        <w:tc>
          <w:tcPr>
            <w:tcW w:w="636" w:type="dxa"/>
            <w:tcBorders>
              <w:top w:val="none" w:sz="0" w:space="0" w:color="auto"/>
              <w:bottom w:val="none" w:sz="0" w:space="0" w:color="auto"/>
              <w:right w:val="none" w:sz="0" w:space="0" w:color="auto"/>
            </w:tcBorders>
            <w:vAlign w:val="center"/>
          </w:tcPr>
          <w:p w:rsidR="00BE3E76" w:rsidRPr="00CB2647" w:rsidRDefault="00BE3E76" w:rsidP="00280FD0">
            <w:pPr>
              <w:jc w:val="center"/>
              <w:cnfStyle w:val="000000100000"/>
              <w:rPr>
                <w:rFonts w:cs="Times New Roman"/>
                <w:sz w:val="20"/>
                <w:szCs w:val="20"/>
              </w:rPr>
            </w:pPr>
            <w:r w:rsidRPr="00CB2647">
              <w:rPr>
                <w:rFonts w:cs="Times New Roman"/>
                <w:sz w:val="20"/>
                <w:szCs w:val="20"/>
              </w:rPr>
              <w:t>0</w:t>
            </w:r>
            <w:r w:rsidR="00280FD0" w:rsidRPr="00CB2647">
              <w:rPr>
                <w:rFonts w:cs="Times New Roman"/>
                <w:sz w:val="20"/>
                <w:szCs w:val="20"/>
              </w:rPr>
              <w:t>,</w:t>
            </w:r>
            <w:r w:rsidRPr="00CB2647">
              <w:rPr>
                <w:rFonts w:cs="Times New Roman"/>
                <w:sz w:val="20"/>
                <w:szCs w:val="20"/>
              </w:rPr>
              <w:t>28</w:t>
            </w:r>
          </w:p>
        </w:tc>
      </w:tr>
    </w:tbl>
    <w:p w:rsidR="007611ED" w:rsidRPr="00CB2647" w:rsidRDefault="007611ED" w:rsidP="00280FD0"/>
    <w:p w:rsidR="00A006C1" w:rsidRPr="00CB2647" w:rsidRDefault="00280FD0" w:rsidP="00280FD0">
      <w:r w:rsidRPr="00CB2647">
        <w:tab/>
      </w:r>
      <w:r w:rsidR="007611ED" w:rsidRPr="00CB2647">
        <w:t>Toplam 247 follikül aspire edildi,bunlardan 124’ü direk aspirasyonla,123’ü ise flushing yapılan çift lümen grubunda idi.Toplanan oosit sayıları açısından fark saptanmadı,tek lümen grubunda 93 oosit,çift lümen grubunda ise 94 oosit toplandı.</w:t>
      </w:r>
      <w:r w:rsidR="00D468F5" w:rsidRPr="00CB2647">
        <w:t>Her iki grupta elde edilen MII oosit sayısı ile GV sayısı benzerdi.</w:t>
      </w:r>
    </w:p>
    <w:p w:rsidR="00D468F5" w:rsidRPr="00CB2647" w:rsidRDefault="00280FD0" w:rsidP="00280FD0">
      <w:r w:rsidRPr="00CB2647">
        <w:tab/>
      </w:r>
      <w:r w:rsidR="00D468F5" w:rsidRPr="00CB2647">
        <w:t>İki grup arasında ista</w:t>
      </w:r>
      <w:r w:rsidRPr="00CB2647">
        <w:t>t</w:t>
      </w:r>
      <w:r w:rsidR="00D468F5" w:rsidRPr="00CB2647">
        <w:t xml:space="preserve">istiksel olarak tek anlamlı saptanan OPU süresi oldu.Çift </w:t>
      </w:r>
      <w:r w:rsidR="002B5EB5" w:rsidRPr="00CB2647">
        <w:t>lümen grubunda 236,</w:t>
      </w:r>
      <w:r w:rsidR="009776FF" w:rsidRPr="00CB2647">
        <w:t>30 saniye(SEM</w:t>
      </w:r>
      <w:r w:rsidR="00D468F5" w:rsidRPr="00CB2647">
        <w:t xml:space="preserve"> 24</w:t>
      </w:r>
      <w:r w:rsidR="00440C4C" w:rsidRPr="00CB2647">
        <w:t>,</w:t>
      </w:r>
      <w:r w:rsidR="00D468F5" w:rsidRPr="00CB2647">
        <w:t>13)ile tek lümen grubuna göre işlem daha uzun sürdü.Fakat kullanılan anestezik madde açısından fark izlen</w:t>
      </w:r>
      <w:r w:rsidR="00A02BA8" w:rsidRPr="00CB2647">
        <w:t>medi,tek lümen grubunda 11</w:t>
      </w:r>
      <w:r w:rsidR="00440C4C" w:rsidRPr="00CB2647">
        <w:t>,</w:t>
      </w:r>
      <w:r w:rsidR="00A02BA8" w:rsidRPr="00CB2647">
        <w:t>08(SEM</w:t>
      </w:r>
      <w:r w:rsidR="00D468F5" w:rsidRPr="00CB2647">
        <w:t xml:space="preserve"> 3</w:t>
      </w:r>
      <w:r w:rsidR="00440C4C" w:rsidRPr="00CB2647">
        <w:t>,</w:t>
      </w:r>
      <w:r w:rsidR="00D468F5" w:rsidRPr="00CB2647">
        <w:t>83)ik</w:t>
      </w:r>
      <w:r w:rsidR="00A02BA8" w:rsidRPr="00CB2647">
        <w:t>en,çift lümen grubunda 11</w:t>
      </w:r>
      <w:r w:rsidR="00440C4C" w:rsidRPr="00CB2647">
        <w:t>,</w:t>
      </w:r>
      <w:r w:rsidR="00A02BA8" w:rsidRPr="00CB2647">
        <w:t xml:space="preserve">87(SEM </w:t>
      </w:r>
      <w:r w:rsidR="00D468F5" w:rsidRPr="00CB2647">
        <w:t>5</w:t>
      </w:r>
      <w:r w:rsidR="00440C4C" w:rsidRPr="00CB2647">
        <w:t>,</w:t>
      </w:r>
      <w:r w:rsidR="00D468F5" w:rsidRPr="00CB2647">
        <w:t>07)idi.</w:t>
      </w:r>
      <w:r w:rsidR="00533CEC" w:rsidRPr="00CB2647">
        <w:t>Fertilizasyon oranı açısından her iki grup arasında fark saptanmadı.Klivaj ve embriyo sayısı açısındanda her iki grup arasında fark saptanmadı.Transfer edilen embriyo s</w:t>
      </w:r>
      <w:r w:rsidR="00A02BA8" w:rsidRPr="00CB2647">
        <w:t>ayısı tek lümen grubunda 1</w:t>
      </w:r>
      <w:r w:rsidR="00440C4C" w:rsidRPr="00CB2647">
        <w:t>,</w:t>
      </w:r>
      <w:r w:rsidR="00A02BA8" w:rsidRPr="00CB2647">
        <w:t>37(SEM</w:t>
      </w:r>
      <w:r w:rsidR="00533CEC" w:rsidRPr="00CB2647">
        <w:t xml:space="preserve"> 0</w:t>
      </w:r>
      <w:r w:rsidR="00440C4C" w:rsidRPr="00CB2647">
        <w:t>,</w:t>
      </w:r>
      <w:r w:rsidR="00533CEC" w:rsidRPr="00CB2647">
        <w:t>09)iken,çift lümen grubunda 1</w:t>
      </w:r>
      <w:r w:rsidR="00440C4C" w:rsidRPr="00CB2647">
        <w:t>,</w:t>
      </w:r>
      <w:r w:rsidR="00A02BA8" w:rsidRPr="00CB2647">
        <w:t>33(SEM</w:t>
      </w:r>
      <w:r w:rsidR="00840DC0" w:rsidRPr="00CB2647">
        <w:t xml:space="preserve"> 0</w:t>
      </w:r>
      <w:r w:rsidR="00440C4C" w:rsidRPr="00CB2647">
        <w:t>,</w:t>
      </w:r>
      <w:r w:rsidR="00840DC0" w:rsidRPr="00CB2647">
        <w:t>09)idi.Grade 1 ve Grade 2 embriyo transferi açısındanda her iki grup arasında anlamlı fark saptanmadı.</w:t>
      </w:r>
    </w:p>
    <w:p w:rsidR="000447A5" w:rsidRPr="00CB2647" w:rsidRDefault="00440C4C" w:rsidP="00440C4C">
      <w:r w:rsidRPr="00CB2647">
        <w:tab/>
      </w:r>
      <w:r w:rsidR="009F23C1" w:rsidRPr="00CB2647">
        <w:t xml:space="preserve">İptal olan vakalar dışında </w:t>
      </w:r>
      <w:r w:rsidR="000447A5" w:rsidRPr="00CB2647">
        <w:t>İVF/İCSİ sonuçları</w:t>
      </w:r>
      <w:r w:rsidR="00F24392" w:rsidRPr="00CB2647">
        <w:t>,gebelik oranları</w:t>
      </w:r>
      <w:r w:rsidR="000447A5" w:rsidRPr="00CB2647">
        <w:t xml:space="preserve"> Tablo 4.3’te sunulmuştur.</w:t>
      </w:r>
    </w:p>
    <w:p w:rsidR="000447A5" w:rsidRPr="00CB2647" w:rsidRDefault="000447A5" w:rsidP="00440C4C"/>
    <w:p w:rsidR="000447A5" w:rsidRPr="00CB2647" w:rsidRDefault="000447A5" w:rsidP="0054243C"/>
    <w:p w:rsidR="00D03EFC" w:rsidRDefault="00D03EFC" w:rsidP="00440C4C"/>
    <w:p w:rsidR="00D03EFC" w:rsidRDefault="00D03EFC" w:rsidP="00440C4C"/>
    <w:p w:rsidR="00D03EFC" w:rsidRDefault="00D03EFC" w:rsidP="00440C4C"/>
    <w:p w:rsidR="00440C4C" w:rsidRPr="00CB2647" w:rsidRDefault="00440C4C" w:rsidP="00440C4C">
      <w:r w:rsidRPr="00CB2647">
        <w:lastRenderedPageBreak/>
        <w:tab/>
        <w:t xml:space="preserve">Tablo 4.3: İVF/İCSİ </w:t>
      </w:r>
      <w:r w:rsidR="00903ED9" w:rsidRPr="00CB2647">
        <w:t>Sonuçları</w:t>
      </w:r>
    </w:p>
    <w:tbl>
      <w:tblPr>
        <w:tblStyle w:val="AkListe-Vurgu5"/>
        <w:tblW w:w="0" w:type="auto"/>
        <w:tblInd w:w="108" w:type="dxa"/>
        <w:tblBorders>
          <w:insideH w:val="single" w:sz="8" w:space="0" w:color="4BACC6" w:themeColor="accent5"/>
          <w:insideV w:val="single" w:sz="8" w:space="0" w:color="4BACC6" w:themeColor="accent5"/>
        </w:tblBorders>
        <w:tblLook w:val="04A0"/>
      </w:tblPr>
      <w:tblGrid>
        <w:gridCol w:w="2552"/>
        <w:gridCol w:w="2551"/>
        <w:gridCol w:w="2552"/>
        <w:gridCol w:w="682"/>
      </w:tblGrid>
      <w:tr w:rsidR="00440C4C" w:rsidRPr="00CB2647" w:rsidTr="00440C4C">
        <w:trPr>
          <w:cnfStyle w:val="100000000000"/>
        </w:trPr>
        <w:tc>
          <w:tcPr>
            <w:cnfStyle w:val="001000000000"/>
            <w:tcW w:w="2552" w:type="dxa"/>
          </w:tcPr>
          <w:p w:rsidR="00440C4C" w:rsidRPr="00CB2647" w:rsidRDefault="00440C4C" w:rsidP="00E70A09">
            <w:pPr>
              <w:rPr>
                <w:rFonts w:cs="Times New Roman"/>
                <w:sz w:val="20"/>
                <w:szCs w:val="20"/>
              </w:rPr>
            </w:pPr>
          </w:p>
        </w:tc>
        <w:tc>
          <w:tcPr>
            <w:tcW w:w="2551" w:type="dxa"/>
            <w:vAlign w:val="center"/>
          </w:tcPr>
          <w:p w:rsidR="00440C4C" w:rsidRPr="00CB2647" w:rsidRDefault="00440C4C" w:rsidP="00440C4C">
            <w:pPr>
              <w:jc w:val="center"/>
              <w:cnfStyle w:val="100000000000"/>
              <w:rPr>
                <w:rFonts w:cs="Times New Roman"/>
                <w:sz w:val="20"/>
                <w:szCs w:val="20"/>
              </w:rPr>
            </w:pPr>
            <w:r w:rsidRPr="00CB2647">
              <w:rPr>
                <w:rFonts w:cs="Times New Roman"/>
                <w:sz w:val="20"/>
                <w:szCs w:val="20"/>
              </w:rPr>
              <w:t>Tek lümen iğne grubu (n=40)</w:t>
            </w:r>
          </w:p>
        </w:tc>
        <w:tc>
          <w:tcPr>
            <w:tcW w:w="2552" w:type="dxa"/>
            <w:vAlign w:val="center"/>
          </w:tcPr>
          <w:p w:rsidR="00440C4C" w:rsidRPr="00CB2647" w:rsidRDefault="00440C4C" w:rsidP="00440C4C">
            <w:pPr>
              <w:jc w:val="center"/>
              <w:cnfStyle w:val="100000000000"/>
              <w:rPr>
                <w:rFonts w:cs="Times New Roman"/>
                <w:sz w:val="20"/>
                <w:szCs w:val="20"/>
              </w:rPr>
            </w:pPr>
            <w:r w:rsidRPr="00CB2647">
              <w:rPr>
                <w:rFonts w:cs="Times New Roman"/>
                <w:sz w:val="20"/>
                <w:szCs w:val="20"/>
              </w:rPr>
              <w:t>Çift lümen iğne grubu (n=40)</w:t>
            </w:r>
          </w:p>
        </w:tc>
        <w:tc>
          <w:tcPr>
            <w:tcW w:w="682" w:type="dxa"/>
          </w:tcPr>
          <w:p w:rsidR="00440C4C" w:rsidRPr="00CB2647" w:rsidRDefault="00440C4C" w:rsidP="00E70A09">
            <w:pPr>
              <w:cnfStyle w:val="100000000000"/>
              <w:rPr>
                <w:rFonts w:cs="Times New Roman"/>
                <w:sz w:val="20"/>
                <w:szCs w:val="20"/>
              </w:rPr>
            </w:pPr>
          </w:p>
        </w:tc>
      </w:tr>
      <w:tr w:rsidR="00440C4C" w:rsidRPr="00CB2647" w:rsidTr="00440C4C">
        <w:trPr>
          <w:cnfStyle w:val="000000100000"/>
        </w:trPr>
        <w:tc>
          <w:tcPr>
            <w:cnfStyle w:val="001000000000"/>
            <w:tcW w:w="2552" w:type="dxa"/>
          </w:tcPr>
          <w:p w:rsidR="00440C4C" w:rsidRPr="00CB2647" w:rsidRDefault="00440C4C" w:rsidP="00E70A09">
            <w:pPr>
              <w:rPr>
                <w:rFonts w:eastAsia="Calibri" w:cs="Times New Roman"/>
                <w:sz w:val="20"/>
                <w:szCs w:val="20"/>
              </w:rPr>
            </w:pPr>
            <w:r w:rsidRPr="00CB2647">
              <w:rPr>
                <w:rFonts w:eastAsia="Calibri" w:cs="Times New Roman"/>
                <w:sz w:val="20"/>
                <w:szCs w:val="20"/>
              </w:rPr>
              <w:t>Pozitiv Beta-HCG</w:t>
            </w:r>
          </w:p>
        </w:tc>
        <w:tc>
          <w:tcPr>
            <w:tcW w:w="2551" w:type="dxa"/>
            <w:vAlign w:val="center"/>
          </w:tcPr>
          <w:p w:rsidR="00440C4C" w:rsidRPr="00CB2647" w:rsidRDefault="00440C4C" w:rsidP="00440C4C">
            <w:pPr>
              <w:jc w:val="center"/>
              <w:cnfStyle w:val="000000100000"/>
              <w:rPr>
                <w:rFonts w:cs="Times New Roman"/>
                <w:sz w:val="20"/>
                <w:szCs w:val="20"/>
              </w:rPr>
            </w:pPr>
            <w:r w:rsidRPr="00CB2647">
              <w:rPr>
                <w:rFonts w:cs="Times New Roman"/>
                <w:sz w:val="20"/>
                <w:szCs w:val="20"/>
              </w:rPr>
              <w:t>15 (37.5%)</w:t>
            </w:r>
          </w:p>
        </w:tc>
        <w:tc>
          <w:tcPr>
            <w:tcW w:w="2552" w:type="dxa"/>
            <w:vAlign w:val="center"/>
          </w:tcPr>
          <w:p w:rsidR="00440C4C" w:rsidRPr="00CB2647" w:rsidRDefault="00440C4C" w:rsidP="00440C4C">
            <w:pPr>
              <w:jc w:val="center"/>
              <w:cnfStyle w:val="000000100000"/>
              <w:rPr>
                <w:rFonts w:cs="Times New Roman"/>
                <w:sz w:val="20"/>
                <w:szCs w:val="20"/>
              </w:rPr>
            </w:pPr>
            <w:r w:rsidRPr="00CB2647">
              <w:rPr>
                <w:rFonts w:cs="Times New Roman"/>
                <w:sz w:val="20"/>
                <w:szCs w:val="20"/>
              </w:rPr>
              <w:t>10/ (25%)</w:t>
            </w:r>
          </w:p>
        </w:tc>
        <w:tc>
          <w:tcPr>
            <w:tcW w:w="682" w:type="dxa"/>
          </w:tcPr>
          <w:p w:rsidR="00440C4C" w:rsidRPr="00CB2647" w:rsidRDefault="00440C4C" w:rsidP="00E70A09">
            <w:pPr>
              <w:cnfStyle w:val="000000100000"/>
              <w:rPr>
                <w:rFonts w:cs="Times New Roman"/>
                <w:sz w:val="20"/>
                <w:szCs w:val="20"/>
              </w:rPr>
            </w:pPr>
            <w:r w:rsidRPr="00CB2647">
              <w:rPr>
                <w:rFonts w:cs="Times New Roman"/>
                <w:sz w:val="20"/>
                <w:szCs w:val="20"/>
              </w:rPr>
              <w:t>0.27</w:t>
            </w:r>
          </w:p>
        </w:tc>
      </w:tr>
      <w:tr w:rsidR="00440C4C" w:rsidRPr="00CB2647" w:rsidTr="00440C4C">
        <w:tc>
          <w:tcPr>
            <w:cnfStyle w:val="001000000000"/>
            <w:tcW w:w="2552" w:type="dxa"/>
          </w:tcPr>
          <w:p w:rsidR="00440C4C" w:rsidRPr="00CB2647" w:rsidRDefault="00440C4C" w:rsidP="00E70A09">
            <w:pPr>
              <w:rPr>
                <w:rFonts w:eastAsia="Calibri" w:cs="Times New Roman"/>
                <w:sz w:val="20"/>
                <w:szCs w:val="20"/>
              </w:rPr>
            </w:pPr>
            <w:r w:rsidRPr="00CB2647">
              <w:rPr>
                <w:rFonts w:eastAsia="Calibri" w:cs="Times New Roman"/>
                <w:sz w:val="20"/>
                <w:szCs w:val="20"/>
              </w:rPr>
              <w:t>Klinik  gebelik  oranı</w:t>
            </w:r>
          </w:p>
        </w:tc>
        <w:tc>
          <w:tcPr>
            <w:tcW w:w="2551" w:type="dxa"/>
            <w:vAlign w:val="center"/>
          </w:tcPr>
          <w:p w:rsidR="00440C4C" w:rsidRPr="00CB2647" w:rsidRDefault="00440C4C" w:rsidP="00440C4C">
            <w:pPr>
              <w:jc w:val="center"/>
              <w:cnfStyle w:val="000000000000"/>
              <w:rPr>
                <w:rFonts w:cs="Times New Roman"/>
                <w:sz w:val="20"/>
                <w:szCs w:val="20"/>
              </w:rPr>
            </w:pPr>
            <w:r w:rsidRPr="00CB2647">
              <w:rPr>
                <w:rFonts w:cs="Times New Roman"/>
                <w:sz w:val="20"/>
                <w:szCs w:val="20"/>
              </w:rPr>
              <w:t>13 (32.5%)</w:t>
            </w:r>
          </w:p>
        </w:tc>
        <w:tc>
          <w:tcPr>
            <w:tcW w:w="2552" w:type="dxa"/>
            <w:vAlign w:val="center"/>
          </w:tcPr>
          <w:p w:rsidR="00440C4C" w:rsidRPr="00CB2647" w:rsidRDefault="00440C4C" w:rsidP="00440C4C">
            <w:pPr>
              <w:jc w:val="center"/>
              <w:cnfStyle w:val="000000000000"/>
              <w:rPr>
                <w:rFonts w:cs="Times New Roman"/>
                <w:sz w:val="20"/>
                <w:szCs w:val="20"/>
              </w:rPr>
            </w:pPr>
            <w:r w:rsidRPr="00CB2647">
              <w:rPr>
                <w:rFonts w:cs="Times New Roman"/>
                <w:sz w:val="20"/>
                <w:szCs w:val="20"/>
              </w:rPr>
              <w:t>10 (25%)</w:t>
            </w:r>
          </w:p>
        </w:tc>
        <w:tc>
          <w:tcPr>
            <w:tcW w:w="682" w:type="dxa"/>
          </w:tcPr>
          <w:p w:rsidR="00440C4C" w:rsidRPr="00CB2647" w:rsidRDefault="00440C4C" w:rsidP="00E70A09">
            <w:pPr>
              <w:cnfStyle w:val="000000000000"/>
              <w:rPr>
                <w:rFonts w:cs="Times New Roman"/>
                <w:sz w:val="20"/>
                <w:szCs w:val="20"/>
              </w:rPr>
            </w:pPr>
            <w:r w:rsidRPr="00CB2647">
              <w:rPr>
                <w:rFonts w:cs="Times New Roman"/>
                <w:sz w:val="20"/>
                <w:szCs w:val="20"/>
              </w:rPr>
              <w:t>0.54</w:t>
            </w:r>
          </w:p>
        </w:tc>
      </w:tr>
      <w:tr w:rsidR="00440C4C" w:rsidRPr="00CB2647" w:rsidTr="00440C4C">
        <w:trPr>
          <w:cnfStyle w:val="000000100000"/>
        </w:trPr>
        <w:tc>
          <w:tcPr>
            <w:cnfStyle w:val="001000000000"/>
            <w:tcW w:w="2552" w:type="dxa"/>
          </w:tcPr>
          <w:p w:rsidR="00440C4C" w:rsidRPr="00CB2647" w:rsidRDefault="00440C4C" w:rsidP="00E70A09">
            <w:pPr>
              <w:rPr>
                <w:rFonts w:eastAsia="Calibri" w:cs="Times New Roman"/>
                <w:sz w:val="20"/>
                <w:szCs w:val="20"/>
              </w:rPr>
            </w:pPr>
            <w:r w:rsidRPr="00CB2647">
              <w:rPr>
                <w:rFonts w:eastAsia="Calibri" w:cs="Times New Roman"/>
                <w:sz w:val="20"/>
                <w:szCs w:val="20"/>
              </w:rPr>
              <w:t>Biokimyasal gebelik oranı</w:t>
            </w:r>
          </w:p>
        </w:tc>
        <w:tc>
          <w:tcPr>
            <w:tcW w:w="2551" w:type="dxa"/>
            <w:vAlign w:val="center"/>
          </w:tcPr>
          <w:p w:rsidR="00440C4C" w:rsidRPr="00CB2647" w:rsidRDefault="00440C4C" w:rsidP="00440C4C">
            <w:pPr>
              <w:jc w:val="center"/>
              <w:cnfStyle w:val="000000100000"/>
              <w:rPr>
                <w:rFonts w:cs="Times New Roman"/>
                <w:sz w:val="20"/>
                <w:szCs w:val="20"/>
              </w:rPr>
            </w:pPr>
            <w:r w:rsidRPr="00CB2647">
              <w:rPr>
                <w:rFonts w:cs="Times New Roman"/>
                <w:sz w:val="20"/>
                <w:szCs w:val="20"/>
              </w:rPr>
              <w:t>2 (13.3%)</w:t>
            </w:r>
          </w:p>
        </w:tc>
        <w:tc>
          <w:tcPr>
            <w:tcW w:w="2552" w:type="dxa"/>
            <w:vAlign w:val="center"/>
          </w:tcPr>
          <w:p w:rsidR="00440C4C" w:rsidRPr="00CB2647" w:rsidRDefault="00440C4C" w:rsidP="00440C4C">
            <w:pPr>
              <w:jc w:val="center"/>
              <w:cnfStyle w:val="000000100000"/>
              <w:rPr>
                <w:rFonts w:cs="Times New Roman"/>
                <w:sz w:val="20"/>
                <w:szCs w:val="20"/>
              </w:rPr>
            </w:pPr>
            <w:r w:rsidRPr="00CB2647">
              <w:rPr>
                <w:rFonts w:cs="Times New Roman"/>
                <w:sz w:val="20"/>
                <w:szCs w:val="20"/>
              </w:rPr>
              <w:t>0</w:t>
            </w:r>
          </w:p>
        </w:tc>
        <w:tc>
          <w:tcPr>
            <w:tcW w:w="682" w:type="dxa"/>
          </w:tcPr>
          <w:p w:rsidR="00440C4C" w:rsidRPr="00CB2647" w:rsidRDefault="00440C4C" w:rsidP="00E70A09">
            <w:pPr>
              <w:cnfStyle w:val="000000100000"/>
              <w:rPr>
                <w:rFonts w:cs="Times New Roman"/>
                <w:sz w:val="20"/>
                <w:szCs w:val="20"/>
              </w:rPr>
            </w:pPr>
            <w:r w:rsidRPr="00CB2647">
              <w:rPr>
                <w:rFonts w:cs="Times New Roman"/>
                <w:sz w:val="20"/>
                <w:szCs w:val="20"/>
              </w:rPr>
              <w:t>0.49</w:t>
            </w:r>
          </w:p>
        </w:tc>
      </w:tr>
      <w:tr w:rsidR="00440C4C" w:rsidRPr="00CB2647" w:rsidTr="00440C4C">
        <w:tc>
          <w:tcPr>
            <w:cnfStyle w:val="001000000000"/>
            <w:tcW w:w="2552" w:type="dxa"/>
          </w:tcPr>
          <w:p w:rsidR="00440C4C" w:rsidRPr="00CB2647" w:rsidRDefault="00440C4C" w:rsidP="00E70A09">
            <w:pPr>
              <w:rPr>
                <w:rFonts w:eastAsia="Calibri" w:cs="Times New Roman"/>
                <w:sz w:val="20"/>
                <w:szCs w:val="20"/>
              </w:rPr>
            </w:pPr>
            <w:r w:rsidRPr="00CB2647">
              <w:rPr>
                <w:rFonts w:eastAsia="Calibri" w:cs="Times New Roman"/>
                <w:sz w:val="20"/>
                <w:szCs w:val="20"/>
              </w:rPr>
              <w:t>Implantasyon oranı (%)</w:t>
            </w:r>
          </w:p>
        </w:tc>
        <w:tc>
          <w:tcPr>
            <w:tcW w:w="2551" w:type="dxa"/>
            <w:vAlign w:val="center"/>
          </w:tcPr>
          <w:p w:rsidR="00440C4C" w:rsidRPr="00CB2647" w:rsidRDefault="00440C4C" w:rsidP="00440C4C">
            <w:pPr>
              <w:jc w:val="center"/>
              <w:cnfStyle w:val="000000000000"/>
              <w:rPr>
                <w:rFonts w:cs="Times New Roman"/>
                <w:sz w:val="20"/>
                <w:szCs w:val="20"/>
              </w:rPr>
            </w:pPr>
            <w:r w:rsidRPr="00CB2647">
              <w:rPr>
                <w:rFonts w:cs="Times New Roman"/>
                <w:sz w:val="20"/>
                <w:szCs w:val="20"/>
              </w:rPr>
              <w:t>33.33±8.0</w:t>
            </w:r>
          </w:p>
        </w:tc>
        <w:tc>
          <w:tcPr>
            <w:tcW w:w="2552" w:type="dxa"/>
            <w:vAlign w:val="center"/>
          </w:tcPr>
          <w:p w:rsidR="00440C4C" w:rsidRPr="00CB2647" w:rsidRDefault="00440C4C" w:rsidP="00440C4C">
            <w:pPr>
              <w:jc w:val="center"/>
              <w:cnfStyle w:val="000000000000"/>
              <w:rPr>
                <w:rFonts w:cs="Times New Roman"/>
                <w:sz w:val="20"/>
                <w:szCs w:val="20"/>
              </w:rPr>
            </w:pPr>
            <w:r w:rsidRPr="00CB2647">
              <w:rPr>
                <w:rFonts w:cs="Times New Roman"/>
                <w:sz w:val="20"/>
                <w:szCs w:val="20"/>
              </w:rPr>
              <w:t>29.62±8.12</w:t>
            </w:r>
          </w:p>
        </w:tc>
        <w:tc>
          <w:tcPr>
            <w:tcW w:w="682" w:type="dxa"/>
          </w:tcPr>
          <w:p w:rsidR="00440C4C" w:rsidRPr="00CB2647" w:rsidRDefault="00440C4C" w:rsidP="00E70A09">
            <w:pPr>
              <w:cnfStyle w:val="000000000000"/>
              <w:rPr>
                <w:rFonts w:cs="Times New Roman"/>
                <w:sz w:val="20"/>
                <w:szCs w:val="20"/>
              </w:rPr>
            </w:pPr>
            <w:r w:rsidRPr="00CB2647">
              <w:rPr>
                <w:rFonts w:cs="Times New Roman"/>
                <w:sz w:val="20"/>
                <w:szCs w:val="20"/>
              </w:rPr>
              <w:t>0.74</w:t>
            </w:r>
          </w:p>
        </w:tc>
      </w:tr>
      <w:tr w:rsidR="00440C4C" w:rsidRPr="00CB2647" w:rsidTr="00440C4C">
        <w:trPr>
          <w:cnfStyle w:val="000000100000"/>
        </w:trPr>
        <w:tc>
          <w:tcPr>
            <w:cnfStyle w:val="001000000000"/>
            <w:tcW w:w="2552" w:type="dxa"/>
          </w:tcPr>
          <w:p w:rsidR="00440C4C" w:rsidRPr="00CB2647" w:rsidRDefault="00440C4C" w:rsidP="00E70A09">
            <w:pPr>
              <w:rPr>
                <w:rFonts w:eastAsia="Calibri" w:cs="Times New Roman"/>
                <w:sz w:val="20"/>
                <w:szCs w:val="20"/>
              </w:rPr>
            </w:pPr>
            <w:r w:rsidRPr="00CB2647">
              <w:rPr>
                <w:rFonts w:eastAsia="Calibri" w:cs="Times New Roman"/>
                <w:sz w:val="20"/>
                <w:szCs w:val="20"/>
              </w:rPr>
              <w:t>Tekiz gebelik oranı</w:t>
            </w:r>
          </w:p>
        </w:tc>
        <w:tc>
          <w:tcPr>
            <w:tcW w:w="2551" w:type="dxa"/>
            <w:vAlign w:val="center"/>
          </w:tcPr>
          <w:p w:rsidR="00440C4C" w:rsidRPr="00CB2647" w:rsidRDefault="00440C4C" w:rsidP="00440C4C">
            <w:pPr>
              <w:jc w:val="center"/>
              <w:cnfStyle w:val="000000100000"/>
              <w:rPr>
                <w:rFonts w:cs="Times New Roman"/>
                <w:sz w:val="20"/>
                <w:szCs w:val="20"/>
              </w:rPr>
            </w:pPr>
            <w:r w:rsidRPr="00CB2647">
              <w:rPr>
                <w:rFonts w:cs="Times New Roman"/>
                <w:sz w:val="20"/>
                <w:szCs w:val="20"/>
              </w:rPr>
              <w:t>12 /13 (92.3%)</w:t>
            </w:r>
          </w:p>
        </w:tc>
        <w:tc>
          <w:tcPr>
            <w:tcW w:w="2552" w:type="dxa"/>
            <w:vAlign w:val="center"/>
          </w:tcPr>
          <w:p w:rsidR="00440C4C" w:rsidRPr="00CB2647" w:rsidRDefault="00440C4C" w:rsidP="00440C4C">
            <w:pPr>
              <w:jc w:val="center"/>
              <w:cnfStyle w:val="000000100000"/>
              <w:rPr>
                <w:rFonts w:cs="Times New Roman"/>
                <w:sz w:val="20"/>
                <w:szCs w:val="20"/>
              </w:rPr>
            </w:pPr>
            <w:r w:rsidRPr="00CB2647">
              <w:rPr>
                <w:rFonts w:cs="Times New Roman"/>
                <w:sz w:val="20"/>
                <w:szCs w:val="20"/>
              </w:rPr>
              <w:t>10  (100%)</w:t>
            </w:r>
          </w:p>
        </w:tc>
        <w:tc>
          <w:tcPr>
            <w:tcW w:w="682" w:type="dxa"/>
          </w:tcPr>
          <w:p w:rsidR="00440C4C" w:rsidRPr="00CB2647" w:rsidRDefault="00440C4C" w:rsidP="00E70A09">
            <w:pPr>
              <w:cnfStyle w:val="000000100000"/>
              <w:rPr>
                <w:rFonts w:cs="Times New Roman"/>
                <w:sz w:val="20"/>
                <w:szCs w:val="20"/>
              </w:rPr>
            </w:pPr>
            <w:r w:rsidRPr="00CB2647">
              <w:rPr>
                <w:rFonts w:cs="Times New Roman"/>
                <w:sz w:val="20"/>
                <w:szCs w:val="20"/>
              </w:rPr>
              <w:t>NS</w:t>
            </w:r>
          </w:p>
        </w:tc>
      </w:tr>
      <w:tr w:rsidR="00440C4C" w:rsidRPr="00CB2647" w:rsidTr="00440C4C">
        <w:tc>
          <w:tcPr>
            <w:cnfStyle w:val="001000000000"/>
            <w:tcW w:w="2552" w:type="dxa"/>
          </w:tcPr>
          <w:p w:rsidR="00440C4C" w:rsidRPr="00CB2647" w:rsidRDefault="00440C4C" w:rsidP="00E70A09">
            <w:pPr>
              <w:rPr>
                <w:rFonts w:eastAsia="Calibri" w:cs="Times New Roman"/>
                <w:sz w:val="20"/>
                <w:szCs w:val="20"/>
              </w:rPr>
            </w:pPr>
            <w:r w:rsidRPr="00CB2647">
              <w:rPr>
                <w:rFonts w:eastAsia="Calibri" w:cs="Times New Roman"/>
                <w:sz w:val="20"/>
                <w:szCs w:val="20"/>
              </w:rPr>
              <w:t>İkiz gebelik oranı</w:t>
            </w:r>
          </w:p>
        </w:tc>
        <w:tc>
          <w:tcPr>
            <w:tcW w:w="2551" w:type="dxa"/>
            <w:vAlign w:val="center"/>
          </w:tcPr>
          <w:p w:rsidR="00440C4C" w:rsidRPr="00CB2647" w:rsidRDefault="00440C4C" w:rsidP="00440C4C">
            <w:pPr>
              <w:jc w:val="center"/>
              <w:cnfStyle w:val="000000000000"/>
              <w:rPr>
                <w:rFonts w:cs="Times New Roman"/>
                <w:sz w:val="20"/>
                <w:szCs w:val="20"/>
              </w:rPr>
            </w:pPr>
            <w:r w:rsidRPr="00CB2647">
              <w:rPr>
                <w:rFonts w:cs="Times New Roman"/>
                <w:sz w:val="20"/>
                <w:szCs w:val="20"/>
              </w:rPr>
              <w:t>1/13 (7.69%)</w:t>
            </w:r>
          </w:p>
        </w:tc>
        <w:tc>
          <w:tcPr>
            <w:tcW w:w="2552" w:type="dxa"/>
            <w:vAlign w:val="center"/>
          </w:tcPr>
          <w:p w:rsidR="00440C4C" w:rsidRPr="00CB2647" w:rsidRDefault="00440C4C" w:rsidP="00440C4C">
            <w:pPr>
              <w:jc w:val="center"/>
              <w:cnfStyle w:val="000000000000"/>
              <w:rPr>
                <w:rFonts w:cs="Times New Roman"/>
                <w:sz w:val="20"/>
                <w:szCs w:val="20"/>
              </w:rPr>
            </w:pPr>
            <w:r w:rsidRPr="00CB2647">
              <w:rPr>
                <w:rFonts w:cs="Times New Roman"/>
                <w:sz w:val="20"/>
                <w:szCs w:val="20"/>
              </w:rPr>
              <w:t>0</w:t>
            </w:r>
          </w:p>
        </w:tc>
        <w:tc>
          <w:tcPr>
            <w:tcW w:w="682" w:type="dxa"/>
          </w:tcPr>
          <w:p w:rsidR="00440C4C" w:rsidRPr="00CB2647" w:rsidRDefault="00440C4C" w:rsidP="00E70A09">
            <w:pPr>
              <w:cnfStyle w:val="000000000000"/>
              <w:rPr>
                <w:rFonts w:cs="Times New Roman"/>
                <w:sz w:val="20"/>
                <w:szCs w:val="20"/>
              </w:rPr>
            </w:pPr>
            <w:r w:rsidRPr="00CB2647">
              <w:rPr>
                <w:rFonts w:cs="Times New Roman"/>
                <w:sz w:val="20"/>
                <w:szCs w:val="20"/>
              </w:rPr>
              <w:t>NS</w:t>
            </w:r>
          </w:p>
        </w:tc>
      </w:tr>
      <w:tr w:rsidR="00440C4C" w:rsidRPr="00CB2647" w:rsidTr="00440C4C">
        <w:trPr>
          <w:cnfStyle w:val="000000100000"/>
        </w:trPr>
        <w:tc>
          <w:tcPr>
            <w:cnfStyle w:val="001000000000"/>
            <w:tcW w:w="2552" w:type="dxa"/>
          </w:tcPr>
          <w:p w:rsidR="00440C4C" w:rsidRPr="00CB2647" w:rsidRDefault="00440C4C" w:rsidP="00E70A09">
            <w:pPr>
              <w:rPr>
                <w:rFonts w:cs="Times New Roman"/>
                <w:sz w:val="20"/>
                <w:szCs w:val="20"/>
              </w:rPr>
            </w:pPr>
            <w:r w:rsidRPr="00CB2647">
              <w:rPr>
                <w:rFonts w:cs="Times New Roman"/>
                <w:sz w:val="20"/>
                <w:szCs w:val="20"/>
              </w:rPr>
              <w:t>İptal oranı</w:t>
            </w:r>
          </w:p>
        </w:tc>
        <w:tc>
          <w:tcPr>
            <w:tcW w:w="2551" w:type="dxa"/>
            <w:vAlign w:val="center"/>
          </w:tcPr>
          <w:p w:rsidR="00440C4C" w:rsidRPr="00CB2647" w:rsidRDefault="00440C4C" w:rsidP="00440C4C">
            <w:pPr>
              <w:jc w:val="center"/>
              <w:cnfStyle w:val="000000100000"/>
              <w:rPr>
                <w:rFonts w:cs="Times New Roman"/>
                <w:sz w:val="20"/>
                <w:szCs w:val="20"/>
              </w:rPr>
            </w:pPr>
            <w:r w:rsidRPr="00CB2647">
              <w:rPr>
                <w:rFonts w:cs="Times New Roman"/>
                <w:sz w:val="20"/>
                <w:szCs w:val="20"/>
              </w:rPr>
              <w:t>13 (32.5%)</w:t>
            </w:r>
          </w:p>
        </w:tc>
        <w:tc>
          <w:tcPr>
            <w:tcW w:w="2552" w:type="dxa"/>
            <w:vAlign w:val="center"/>
          </w:tcPr>
          <w:p w:rsidR="00440C4C" w:rsidRPr="00CB2647" w:rsidRDefault="00440C4C" w:rsidP="00440C4C">
            <w:pPr>
              <w:jc w:val="center"/>
              <w:cnfStyle w:val="000000100000"/>
              <w:rPr>
                <w:rFonts w:cs="Times New Roman"/>
                <w:sz w:val="20"/>
                <w:szCs w:val="20"/>
              </w:rPr>
            </w:pPr>
            <w:r w:rsidRPr="00CB2647">
              <w:rPr>
                <w:rFonts w:cs="Times New Roman"/>
                <w:sz w:val="20"/>
                <w:szCs w:val="20"/>
              </w:rPr>
              <w:t>13 (32.5%)</w:t>
            </w:r>
          </w:p>
        </w:tc>
        <w:tc>
          <w:tcPr>
            <w:tcW w:w="682" w:type="dxa"/>
          </w:tcPr>
          <w:p w:rsidR="00440C4C" w:rsidRPr="00CB2647" w:rsidRDefault="00440C4C" w:rsidP="00E70A09">
            <w:pPr>
              <w:cnfStyle w:val="000000100000"/>
              <w:rPr>
                <w:rFonts w:cs="Times New Roman"/>
                <w:sz w:val="20"/>
                <w:szCs w:val="20"/>
              </w:rPr>
            </w:pPr>
            <w:r w:rsidRPr="00CB2647">
              <w:rPr>
                <w:rFonts w:cs="Times New Roman"/>
                <w:sz w:val="20"/>
                <w:szCs w:val="20"/>
              </w:rPr>
              <w:t>NS</w:t>
            </w:r>
          </w:p>
        </w:tc>
      </w:tr>
    </w:tbl>
    <w:p w:rsidR="00840DC0" w:rsidRPr="00CB2647" w:rsidRDefault="00840DC0" w:rsidP="00440C4C"/>
    <w:p w:rsidR="004F704D" w:rsidRPr="00CB2647" w:rsidRDefault="00440C4C" w:rsidP="00440C4C">
      <w:r w:rsidRPr="00CB2647">
        <w:tab/>
      </w:r>
      <w:r w:rsidR="004F704D" w:rsidRPr="00CB2647">
        <w:t xml:space="preserve">Her ne kadar tek lümen kullanılan grupta pozitif Beta-HCG </w:t>
      </w:r>
      <w:r w:rsidR="002B5EB5" w:rsidRPr="00CB2647">
        <w:t xml:space="preserve">değeri sayı olarak daha yüksek </w:t>
      </w:r>
      <w:r w:rsidR="004F704D" w:rsidRPr="00CB2647">
        <w:t>saptanmış olsada istatistiksel olarak anlamlı fark sapt</w:t>
      </w:r>
      <w:r w:rsidR="00723E36" w:rsidRPr="00CB2647">
        <w:t>a</w:t>
      </w:r>
      <w:r w:rsidR="002B5EB5" w:rsidRPr="00CB2647">
        <w:t>nmam</w:t>
      </w:r>
      <w:r w:rsidR="00BC014E" w:rsidRPr="00CB2647">
        <w:t>ıştır.</w:t>
      </w:r>
      <w:r w:rsidR="00723E36" w:rsidRPr="00CB2647">
        <w:t>Toplam</w:t>
      </w:r>
      <w:r w:rsidR="00092572" w:rsidRPr="00CB2647">
        <w:t xml:space="preserve"> 23 olguda klinik gebelik izlenm</w:t>
      </w:r>
      <w:r w:rsidR="00723E36" w:rsidRPr="00CB2647">
        <w:t>iş olup,</w:t>
      </w:r>
      <w:r w:rsidR="004F704D" w:rsidRPr="00CB2647">
        <w:t>tek lümen iğne kullanılan grupta %32</w:t>
      </w:r>
      <w:r w:rsidRPr="00CB2647">
        <w:t>,</w:t>
      </w:r>
      <w:r w:rsidR="004F704D" w:rsidRPr="00CB2647">
        <w:t xml:space="preserve">5 gebelik oranı </w:t>
      </w:r>
      <w:r w:rsidR="00723E36" w:rsidRPr="00CB2647">
        <w:t xml:space="preserve">ile çift lümen grubuna göre daha fazla sayıda izlenmiş olsada </w:t>
      </w:r>
      <w:r w:rsidR="004F704D" w:rsidRPr="00CB2647">
        <w:t>her iki grup ara</w:t>
      </w:r>
      <w:r w:rsidR="00723E36" w:rsidRPr="00CB2647">
        <w:t>sında gebelik oranı açısından anlamlı fark saptanmamıştır.İmplantasyon oranı direk aspirasyon grubunda %33</w:t>
      </w:r>
      <w:r w:rsidRPr="00CB2647">
        <w:t>,</w:t>
      </w:r>
      <w:r w:rsidR="00723E36" w:rsidRPr="00CB2647">
        <w:t>33(SD 8</w:t>
      </w:r>
      <w:r w:rsidRPr="00CB2647">
        <w:t>,</w:t>
      </w:r>
      <w:r w:rsidR="00723E36" w:rsidRPr="00CB2647">
        <w:t>0)iken,flushing yapılan grupta %29</w:t>
      </w:r>
      <w:r w:rsidRPr="00CB2647">
        <w:t>,</w:t>
      </w:r>
      <w:r w:rsidR="00723E36" w:rsidRPr="00CB2647">
        <w:t>62(SD 8</w:t>
      </w:r>
      <w:r w:rsidRPr="00CB2647">
        <w:t>,</w:t>
      </w:r>
      <w:r w:rsidR="00723E36" w:rsidRPr="00CB2647">
        <w:t>12) idi.</w:t>
      </w:r>
    </w:p>
    <w:p w:rsidR="00B00661" w:rsidRPr="00CB2647" w:rsidRDefault="00440C4C" w:rsidP="00440C4C">
      <w:r w:rsidRPr="00CB2647">
        <w:tab/>
      </w:r>
      <w:r w:rsidR="00BC014E" w:rsidRPr="00CB2647">
        <w:t>M</w:t>
      </w:r>
      <w:r w:rsidR="00723E36" w:rsidRPr="00CB2647">
        <w:t xml:space="preserve">eydana gelen </w:t>
      </w:r>
      <w:r w:rsidR="00BC014E" w:rsidRPr="00CB2647">
        <w:t>gebelik olgularından</w:t>
      </w:r>
      <w:r w:rsidR="00723E36" w:rsidRPr="00CB2647">
        <w:t xml:space="preserve"> çift lümen grubunda </w:t>
      </w:r>
      <w:r w:rsidR="00BC014E" w:rsidRPr="00CB2647">
        <w:t xml:space="preserve">olanların hepsi tekil gebelikken </w:t>
      </w:r>
      <w:r w:rsidR="00723E36" w:rsidRPr="00CB2647">
        <w:t>bunlardan sadece biri ikiz gebelikti ve tek lümen grubuna aitti.</w:t>
      </w:r>
      <w:r w:rsidR="00D03EFC">
        <w:t xml:space="preserve"> </w:t>
      </w:r>
      <w:r w:rsidR="00CD527C" w:rsidRPr="00CB2647">
        <w:t>İptal edilen olgu sayısı ve nedenleri Tablo 4.4’te sunulmuştur.</w:t>
      </w:r>
    </w:p>
    <w:p w:rsidR="00CD527C" w:rsidRPr="00CB2647" w:rsidRDefault="00CD527C" w:rsidP="00440C4C"/>
    <w:p w:rsidR="00440C4C" w:rsidRPr="00CB2647" w:rsidRDefault="00440C4C" w:rsidP="00440C4C">
      <w:pPr>
        <w:rPr>
          <w:rFonts w:cs="Times New Roman"/>
          <w:szCs w:val="24"/>
        </w:rPr>
      </w:pPr>
      <w:r w:rsidRPr="00CB2647">
        <w:tab/>
        <w:t>Tablo 4.4: Embriyo Transfer (ET) İptal Nedenleri</w:t>
      </w:r>
    </w:p>
    <w:tbl>
      <w:tblPr>
        <w:tblStyle w:val="AkListe-Vurgu5"/>
        <w:tblW w:w="0" w:type="auto"/>
        <w:tblInd w:w="108" w:type="dxa"/>
        <w:tblBorders>
          <w:insideH w:val="single" w:sz="8" w:space="0" w:color="4BACC6" w:themeColor="accent5"/>
          <w:insideV w:val="single" w:sz="8" w:space="0" w:color="4BACC6" w:themeColor="accent5"/>
        </w:tblBorders>
        <w:tblLook w:val="04A0"/>
      </w:tblPr>
      <w:tblGrid>
        <w:gridCol w:w="2552"/>
        <w:gridCol w:w="2622"/>
        <w:gridCol w:w="2623"/>
        <w:gridCol w:w="708"/>
      </w:tblGrid>
      <w:tr w:rsidR="008D4D1A" w:rsidRPr="00CB2647" w:rsidTr="00440C4C">
        <w:trPr>
          <w:cnfStyle w:val="100000000000"/>
        </w:trPr>
        <w:tc>
          <w:tcPr>
            <w:cnfStyle w:val="001000000000"/>
            <w:tcW w:w="2552" w:type="dxa"/>
          </w:tcPr>
          <w:p w:rsidR="00CD527C" w:rsidRPr="00CB2647" w:rsidRDefault="00CD527C" w:rsidP="00440C4C">
            <w:pPr>
              <w:rPr>
                <w:rFonts w:cs="Times New Roman"/>
                <w:sz w:val="20"/>
                <w:szCs w:val="20"/>
              </w:rPr>
            </w:pPr>
          </w:p>
        </w:tc>
        <w:tc>
          <w:tcPr>
            <w:tcW w:w="2622" w:type="dxa"/>
            <w:vAlign w:val="center"/>
          </w:tcPr>
          <w:p w:rsidR="00CD527C" w:rsidRPr="00CB2647" w:rsidRDefault="008D4D1A" w:rsidP="00440C4C">
            <w:pPr>
              <w:jc w:val="center"/>
              <w:cnfStyle w:val="100000000000"/>
              <w:rPr>
                <w:rFonts w:cs="Times New Roman"/>
                <w:sz w:val="20"/>
                <w:szCs w:val="20"/>
              </w:rPr>
            </w:pPr>
            <w:r w:rsidRPr="00CB2647">
              <w:rPr>
                <w:rFonts w:cs="Times New Roman"/>
                <w:sz w:val="20"/>
                <w:szCs w:val="20"/>
              </w:rPr>
              <w:t>Tek lümen iğne grubu</w:t>
            </w:r>
            <w:r w:rsidR="00CD527C" w:rsidRPr="00CB2647">
              <w:rPr>
                <w:rFonts w:cs="Times New Roman"/>
                <w:sz w:val="20"/>
                <w:szCs w:val="20"/>
              </w:rPr>
              <w:t>(n=40)</w:t>
            </w:r>
          </w:p>
        </w:tc>
        <w:tc>
          <w:tcPr>
            <w:tcW w:w="2623" w:type="dxa"/>
            <w:vAlign w:val="center"/>
          </w:tcPr>
          <w:p w:rsidR="00CD527C" w:rsidRPr="00CB2647" w:rsidRDefault="008D4D1A" w:rsidP="00440C4C">
            <w:pPr>
              <w:jc w:val="center"/>
              <w:cnfStyle w:val="100000000000"/>
              <w:rPr>
                <w:rFonts w:cs="Times New Roman"/>
                <w:sz w:val="20"/>
                <w:szCs w:val="20"/>
              </w:rPr>
            </w:pPr>
            <w:r w:rsidRPr="00CB2647">
              <w:rPr>
                <w:rFonts w:cs="Times New Roman"/>
                <w:sz w:val="20"/>
                <w:szCs w:val="20"/>
              </w:rPr>
              <w:t xml:space="preserve">Çift lümen iğne grubu </w:t>
            </w:r>
            <w:r w:rsidR="00CD527C" w:rsidRPr="00CB2647">
              <w:rPr>
                <w:rFonts w:cs="Times New Roman"/>
                <w:sz w:val="20"/>
                <w:szCs w:val="20"/>
              </w:rPr>
              <w:t>(n=40)</w:t>
            </w:r>
          </w:p>
        </w:tc>
        <w:tc>
          <w:tcPr>
            <w:tcW w:w="708" w:type="dxa"/>
            <w:vAlign w:val="center"/>
          </w:tcPr>
          <w:p w:rsidR="00CD527C" w:rsidRPr="00CB2647" w:rsidRDefault="00CD527C" w:rsidP="00440C4C">
            <w:pPr>
              <w:jc w:val="center"/>
              <w:cnfStyle w:val="100000000000"/>
              <w:rPr>
                <w:rFonts w:cs="Times New Roman"/>
                <w:sz w:val="20"/>
                <w:szCs w:val="20"/>
              </w:rPr>
            </w:pPr>
          </w:p>
        </w:tc>
      </w:tr>
      <w:tr w:rsidR="008D4D1A" w:rsidRPr="00CB2647" w:rsidTr="00440C4C">
        <w:trPr>
          <w:cnfStyle w:val="000000100000"/>
        </w:trPr>
        <w:tc>
          <w:tcPr>
            <w:cnfStyle w:val="001000000000"/>
            <w:tcW w:w="2552" w:type="dxa"/>
            <w:tcBorders>
              <w:top w:val="none" w:sz="0" w:space="0" w:color="auto"/>
              <w:left w:val="none" w:sz="0" w:space="0" w:color="auto"/>
              <w:bottom w:val="none" w:sz="0" w:space="0" w:color="auto"/>
            </w:tcBorders>
          </w:tcPr>
          <w:p w:rsidR="00CD527C" w:rsidRPr="00CB2647" w:rsidRDefault="00CD527C" w:rsidP="00440C4C">
            <w:pPr>
              <w:rPr>
                <w:rFonts w:eastAsia="Calibri" w:cs="Times New Roman"/>
                <w:sz w:val="20"/>
                <w:szCs w:val="20"/>
              </w:rPr>
            </w:pPr>
            <w:r w:rsidRPr="00CB2647">
              <w:rPr>
                <w:rFonts w:eastAsia="Calibri" w:cs="Times New Roman"/>
                <w:sz w:val="20"/>
                <w:szCs w:val="20"/>
              </w:rPr>
              <w:t xml:space="preserve"> OPU’da oosit çıkmaması</w:t>
            </w:r>
          </w:p>
        </w:tc>
        <w:tc>
          <w:tcPr>
            <w:tcW w:w="2622" w:type="dxa"/>
            <w:tcBorders>
              <w:top w:val="none" w:sz="0" w:space="0" w:color="auto"/>
              <w:bottom w:val="none" w:sz="0" w:space="0" w:color="auto"/>
            </w:tcBorders>
            <w:vAlign w:val="center"/>
          </w:tcPr>
          <w:p w:rsidR="00CD527C" w:rsidRPr="00CB2647" w:rsidRDefault="00CD527C" w:rsidP="00440C4C">
            <w:pPr>
              <w:jc w:val="center"/>
              <w:cnfStyle w:val="000000100000"/>
              <w:rPr>
                <w:rFonts w:cs="Times New Roman"/>
                <w:sz w:val="20"/>
                <w:szCs w:val="20"/>
              </w:rPr>
            </w:pPr>
            <w:r w:rsidRPr="00CB2647">
              <w:rPr>
                <w:rFonts w:cs="Times New Roman"/>
                <w:sz w:val="20"/>
                <w:szCs w:val="20"/>
              </w:rPr>
              <w:t>4(10%)</w:t>
            </w:r>
          </w:p>
        </w:tc>
        <w:tc>
          <w:tcPr>
            <w:tcW w:w="2623" w:type="dxa"/>
            <w:tcBorders>
              <w:top w:val="none" w:sz="0" w:space="0" w:color="auto"/>
              <w:bottom w:val="none" w:sz="0" w:space="0" w:color="auto"/>
            </w:tcBorders>
            <w:vAlign w:val="center"/>
          </w:tcPr>
          <w:p w:rsidR="00CD527C" w:rsidRPr="00CB2647" w:rsidRDefault="00CD527C" w:rsidP="00440C4C">
            <w:pPr>
              <w:jc w:val="center"/>
              <w:cnfStyle w:val="000000100000"/>
              <w:rPr>
                <w:rFonts w:cs="Times New Roman"/>
                <w:sz w:val="20"/>
                <w:szCs w:val="20"/>
              </w:rPr>
            </w:pPr>
            <w:r w:rsidRPr="00CB2647">
              <w:rPr>
                <w:rFonts w:cs="Times New Roman"/>
                <w:sz w:val="20"/>
                <w:szCs w:val="20"/>
              </w:rPr>
              <w:t>2 (5%)</w:t>
            </w:r>
          </w:p>
        </w:tc>
        <w:tc>
          <w:tcPr>
            <w:tcW w:w="708" w:type="dxa"/>
            <w:tcBorders>
              <w:top w:val="none" w:sz="0" w:space="0" w:color="auto"/>
              <w:bottom w:val="none" w:sz="0" w:space="0" w:color="auto"/>
              <w:right w:val="none" w:sz="0" w:space="0" w:color="auto"/>
            </w:tcBorders>
            <w:vAlign w:val="center"/>
          </w:tcPr>
          <w:p w:rsidR="00CD527C" w:rsidRPr="00CB2647" w:rsidRDefault="00CD527C" w:rsidP="00440C4C">
            <w:pPr>
              <w:jc w:val="center"/>
              <w:cnfStyle w:val="000000100000"/>
              <w:rPr>
                <w:rFonts w:cs="Times New Roman"/>
                <w:sz w:val="20"/>
                <w:szCs w:val="20"/>
              </w:rPr>
            </w:pPr>
            <w:r w:rsidRPr="00CB2647">
              <w:rPr>
                <w:rFonts w:cs="Times New Roman"/>
                <w:sz w:val="20"/>
                <w:szCs w:val="20"/>
              </w:rPr>
              <w:t>NS</w:t>
            </w:r>
          </w:p>
        </w:tc>
      </w:tr>
      <w:tr w:rsidR="008D4D1A" w:rsidRPr="00CB2647" w:rsidTr="00440C4C">
        <w:tc>
          <w:tcPr>
            <w:cnfStyle w:val="001000000000"/>
            <w:tcW w:w="2552" w:type="dxa"/>
          </w:tcPr>
          <w:p w:rsidR="00CD527C" w:rsidRPr="00CB2647" w:rsidRDefault="00CD527C" w:rsidP="00440C4C">
            <w:pPr>
              <w:rPr>
                <w:rFonts w:eastAsia="Calibri" w:cs="Times New Roman"/>
                <w:sz w:val="20"/>
                <w:szCs w:val="20"/>
              </w:rPr>
            </w:pPr>
            <w:r w:rsidRPr="00CB2647">
              <w:rPr>
                <w:rFonts w:eastAsia="Calibri" w:cs="Times New Roman"/>
                <w:sz w:val="20"/>
                <w:szCs w:val="20"/>
              </w:rPr>
              <w:t>Fertilizasyon başarısızlığı</w:t>
            </w:r>
          </w:p>
        </w:tc>
        <w:tc>
          <w:tcPr>
            <w:tcW w:w="2622" w:type="dxa"/>
            <w:vAlign w:val="center"/>
          </w:tcPr>
          <w:p w:rsidR="00CD527C" w:rsidRPr="00CB2647" w:rsidRDefault="00CD527C" w:rsidP="00440C4C">
            <w:pPr>
              <w:jc w:val="center"/>
              <w:cnfStyle w:val="000000000000"/>
              <w:rPr>
                <w:rFonts w:cs="Times New Roman"/>
                <w:sz w:val="20"/>
                <w:szCs w:val="20"/>
              </w:rPr>
            </w:pPr>
            <w:r w:rsidRPr="00CB2647">
              <w:rPr>
                <w:rFonts w:cs="Times New Roman"/>
                <w:sz w:val="20"/>
                <w:szCs w:val="20"/>
              </w:rPr>
              <w:t>4 (10%)</w:t>
            </w:r>
          </w:p>
        </w:tc>
        <w:tc>
          <w:tcPr>
            <w:tcW w:w="2623" w:type="dxa"/>
            <w:vAlign w:val="center"/>
          </w:tcPr>
          <w:p w:rsidR="00CD527C" w:rsidRPr="00CB2647" w:rsidRDefault="00CD527C" w:rsidP="00440C4C">
            <w:pPr>
              <w:jc w:val="center"/>
              <w:cnfStyle w:val="000000000000"/>
              <w:rPr>
                <w:rFonts w:cs="Times New Roman"/>
                <w:sz w:val="20"/>
                <w:szCs w:val="20"/>
              </w:rPr>
            </w:pPr>
            <w:r w:rsidRPr="00CB2647">
              <w:rPr>
                <w:rFonts w:cs="Times New Roman"/>
                <w:sz w:val="20"/>
                <w:szCs w:val="20"/>
              </w:rPr>
              <w:t>6 (15%)</w:t>
            </w:r>
          </w:p>
        </w:tc>
        <w:tc>
          <w:tcPr>
            <w:tcW w:w="708" w:type="dxa"/>
            <w:vAlign w:val="center"/>
          </w:tcPr>
          <w:p w:rsidR="00CD527C" w:rsidRPr="00CB2647" w:rsidRDefault="00CD527C" w:rsidP="00440C4C">
            <w:pPr>
              <w:jc w:val="center"/>
              <w:cnfStyle w:val="000000000000"/>
              <w:rPr>
                <w:rFonts w:cs="Times New Roman"/>
                <w:sz w:val="20"/>
                <w:szCs w:val="20"/>
              </w:rPr>
            </w:pPr>
            <w:r w:rsidRPr="00CB2647">
              <w:rPr>
                <w:rFonts w:cs="Times New Roman"/>
                <w:sz w:val="20"/>
                <w:szCs w:val="20"/>
              </w:rPr>
              <w:t>NS</w:t>
            </w:r>
          </w:p>
        </w:tc>
      </w:tr>
      <w:tr w:rsidR="008D4D1A" w:rsidRPr="00CB2647" w:rsidTr="00440C4C">
        <w:trPr>
          <w:cnfStyle w:val="000000100000"/>
        </w:trPr>
        <w:tc>
          <w:tcPr>
            <w:cnfStyle w:val="001000000000"/>
            <w:tcW w:w="2552" w:type="dxa"/>
            <w:tcBorders>
              <w:top w:val="none" w:sz="0" w:space="0" w:color="auto"/>
              <w:left w:val="none" w:sz="0" w:space="0" w:color="auto"/>
              <w:bottom w:val="none" w:sz="0" w:space="0" w:color="auto"/>
            </w:tcBorders>
          </w:tcPr>
          <w:p w:rsidR="00CD527C" w:rsidRPr="00CB2647" w:rsidRDefault="00CD527C" w:rsidP="00440C4C">
            <w:pPr>
              <w:rPr>
                <w:rFonts w:eastAsia="Calibri" w:cs="Times New Roman"/>
                <w:sz w:val="20"/>
                <w:szCs w:val="20"/>
              </w:rPr>
            </w:pPr>
            <w:r w:rsidRPr="00CB2647">
              <w:rPr>
                <w:rFonts w:eastAsia="Calibri" w:cs="Times New Roman"/>
                <w:sz w:val="20"/>
                <w:szCs w:val="20"/>
              </w:rPr>
              <w:t>Klivaj ar</w:t>
            </w:r>
            <w:r w:rsidR="008D4D1A" w:rsidRPr="00CB2647">
              <w:rPr>
                <w:rFonts w:eastAsia="Calibri" w:cs="Times New Roman"/>
                <w:sz w:val="20"/>
                <w:szCs w:val="20"/>
              </w:rPr>
              <w:t>r</w:t>
            </w:r>
            <w:r w:rsidRPr="00CB2647">
              <w:rPr>
                <w:rFonts w:eastAsia="Calibri" w:cs="Times New Roman"/>
                <w:sz w:val="20"/>
                <w:szCs w:val="20"/>
              </w:rPr>
              <w:t>esti</w:t>
            </w:r>
          </w:p>
        </w:tc>
        <w:tc>
          <w:tcPr>
            <w:tcW w:w="2622" w:type="dxa"/>
            <w:tcBorders>
              <w:top w:val="none" w:sz="0" w:space="0" w:color="auto"/>
              <w:bottom w:val="none" w:sz="0" w:space="0" w:color="auto"/>
            </w:tcBorders>
            <w:vAlign w:val="center"/>
          </w:tcPr>
          <w:p w:rsidR="00CD527C" w:rsidRPr="00CB2647" w:rsidRDefault="00CD527C" w:rsidP="00440C4C">
            <w:pPr>
              <w:jc w:val="center"/>
              <w:cnfStyle w:val="000000100000"/>
              <w:rPr>
                <w:rFonts w:cs="Times New Roman"/>
                <w:sz w:val="20"/>
                <w:szCs w:val="20"/>
              </w:rPr>
            </w:pPr>
            <w:r w:rsidRPr="00CB2647">
              <w:rPr>
                <w:rFonts w:cs="Times New Roman"/>
                <w:sz w:val="20"/>
                <w:szCs w:val="20"/>
              </w:rPr>
              <w:t>5 (7.5%)</w:t>
            </w:r>
          </w:p>
        </w:tc>
        <w:tc>
          <w:tcPr>
            <w:tcW w:w="2623" w:type="dxa"/>
            <w:tcBorders>
              <w:top w:val="none" w:sz="0" w:space="0" w:color="auto"/>
              <w:bottom w:val="none" w:sz="0" w:space="0" w:color="auto"/>
            </w:tcBorders>
            <w:vAlign w:val="center"/>
          </w:tcPr>
          <w:p w:rsidR="00CD527C" w:rsidRPr="00CB2647" w:rsidRDefault="00CD527C" w:rsidP="00440C4C">
            <w:pPr>
              <w:jc w:val="center"/>
              <w:cnfStyle w:val="000000100000"/>
              <w:rPr>
                <w:rFonts w:cs="Times New Roman"/>
                <w:sz w:val="20"/>
                <w:szCs w:val="20"/>
              </w:rPr>
            </w:pPr>
            <w:r w:rsidRPr="00CB2647">
              <w:rPr>
                <w:rFonts w:cs="Times New Roman"/>
                <w:sz w:val="20"/>
                <w:szCs w:val="20"/>
              </w:rPr>
              <w:t>5 (7.5)</w:t>
            </w:r>
          </w:p>
        </w:tc>
        <w:tc>
          <w:tcPr>
            <w:tcW w:w="708" w:type="dxa"/>
            <w:tcBorders>
              <w:top w:val="none" w:sz="0" w:space="0" w:color="auto"/>
              <w:bottom w:val="none" w:sz="0" w:space="0" w:color="auto"/>
              <w:right w:val="none" w:sz="0" w:space="0" w:color="auto"/>
            </w:tcBorders>
            <w:vAlign w:val="center"/>
          </w:tcPr>
          <w:p w:rsidR="00CD527C" w:rsidRPr="00CB2647" w:rsidRDefault="00CD527C" w:rsidP="00440C4C">
            <w:pPr>
              <w:jc w:val="center"/>
              <w:cnfStyle w:val="000000100000"/>
              <w:rPr>
                <w:rFonts w:cs="Times New Roman"/>
                <w:sz w:val="20"/>
                <w:szCs w:val="20"/>
              </w:rPr>
            </w:pPr>
            <w:r w:rsidRPr="00CB2647">
              <w:rPr>
                <w:rFonts w:cs="Times New Roman"/>
                <w:sz w:val="20"/>
                <w:szCs w:val="20"/>
              </w:rPr>
              <w:t>NS</w:t>
            </w:r>
          </w:p>
        </w:tc>
      </w:tr>
    </w:tbl>
    <w:p w:rsidR="008D4D1A" w:rsidRPr="00CB2647" w:rsidRDefault="008D4D1A" w:rsidP="00440C4C"/>
    <w:p w:rsidR="008D4D1A" w:rsidRPr="00CB2647" w:rsidRDefault="00440C4C" w:rsidP="00440C4C">
      <w:r w:rsidRPr="00CB2647">
        <w:tab/>
      </w:r>
      <w:r w:rsidR="008D4D1A" w:rsidRPr="00CB2647">
        <w:t xml:space="preserve">Her iki grupta </w:t>
      </w:r>
      <w:r w:rsidR="00380E9B" w:rsidRPr="00CB2647">
        <w:t>t</w:t>
      </w:r>
      <w:r w:rsidR="00905996" w:rsidRPr="00CB2647">
        <w:t>oplam 26 olgu</w:t>
      </w:r>
      <w:r w:rsidR="00E431BF" w:rsidRPr="00CB2647">
        <w:t>ya</w:t>
      </w:r>
      <w:r w:rsidR="00905996" w:rsidRPr="00CB2647">
        <w:t xml:space="preserve"> embriyo transferiyapılamadı. </w:t>
      </w:r>
      <w:r w:rsidR="00380E9B" w:rsidRPr="00CB2647">
        <w:t>Bunlarda</w:t>
      </w:r>
      <w:r w:rsidR="00FB2CC5" w:rsidRPr="00CB2647">
        <w:t>n</w:t>
      </w:r>
      <w:r w:rsidR="00380E9B" w:rsidRPr="00CB2647">
        <w:t xml:space="preserve"> 6’sı OPU’da oosit çıkmaması nedeniyle,10 olgu fertilizasyon başarısı</w:t>
      </w:r>
      <w:r w:rsidR="00182ED7" w:rsidRPr="00CB2647">
        <w:t>z</w:t>
      </w:r>
      <w:r w:rsidR="00380E9B" w:rsidRPr="00CB2647">
        <w:t>lığı,</w:t>
      </w:r>
      <w:r w:rsidR="00D03EFC">
        <w:t xml:space="preserve"> </w:t>
      </w:r>
      <w:r w:rsidR="00380E9B" w:rsidRPr="00CB2647">
        <w:t>diğer 10 olgu ise klivaj arresti nedeniyle emb</w:t>
      </w:r>
      <w:r w:rsidR="00905996" w:rsidRPr="00CB2647">
        <w:t>riyo transferi yapılamadığından</w:t>
      </w:r>
      <w:r w:rsidR="00380E9B" w:rsidRPr="00CB2647">
        <w:t xml:space="preserve"> iptal edildi.</w:t>
      </w:r>
    </w:p>
    <w:p w:rsidR="00E431BF" w:rsidRPr="00CB2647" w:rsidRDefault="00E431BF" w:rsidP="00440C4C"/>
    <w:p w:rsidR="00440C4C" w:rsidRPr="00CB2647" w:rsidRDefault="00440C4C">
      <w:pPr>
        <w:tabs>
          <w:tab w:val="clear" w:pos="709"/>
        </w:tabs>
        <w:spacing w:after="200" w:line="276" w:lineRule="auto"/>
        <w:jc w:val="left"/>
        <w:rPr>
          <w:rFonts w:cs="Times New Roman"/>
          <w:b/>
          <w:sz w:val="28"/>
          <w:szCs w:val="28"/>
        </w:rPr>
      </w:pPr>
      <w:r w:rsidRPr="00CB2647">
        <w:rPr>
          <w:rFonts w:cs="Times New Roman"/>
          <w:b/>
          <w:sz w:val="28"/>
          <w:szCs w:val="28"/>
        </w:rPr>
        <w:br w:type="page"/>
      </w:r>
    </w:p>
    <w:p w:rsidR="0008783E" w:rsidRPr="00CB2647" w:rsidRDefault="0008783E" w:rsidP="00440C4C">
      <w:pPr>
        <w:pStyle w:val="Balk1"/>
        <w:jc w:val="center"/>
        <w:rPr>
          <w:szCs w:val="24"/>
        </w:rPr>
      </w:pPr>
      <w:bookmarkStart w:id="30" w:name="_Toc432062042"/>
      <w:r w:rsidRPr="00CB2647">
        <w:lastRenderedPageBreak/>
        <w:t>5.TARTIŞMA ve SONUÇLAR</w:t>
      </w:r>
      <w:bookmarkEnd w:id="30"/>
    </w:p>
    <w:p w:rsidR="00FB2CC5" w:rsidRPr="00CB2647" w:rsidRDefault="00440C4C" w:rsidP="00440C4C">
      <w:r w:rsidRPr="00CB2647">
        <w:tab/>
      </w:r>
      <w:r w:rsidR="00FB2CC5" w:rsidRPr="00CB2647">
        <w:t>Bu çalışmada,</w:t>
      </w:r>
      <w:r w:rsidR="00D03EFC">
        <w:t xml:space="preserve"> </w:t>
      </w:r>
      <w:r w:rsidR="00FB2CC5" w:rsidRPr="00CB2647">
        <w:t>kötü over</w:t>
      </w:r>
      <w:r w:rsidR="00640C94" w:rsidRPr="00CB2647">
        <w:t xml:space="preserve"> rezerv</w:t>
      </w:r>
      <w:r w:rsidR="00FB2CC5" w:rsidRPr="00CB2647">
        <w:t xml:space="preserve"> tanılı 20</w:t>
      </w:r>
      <w:r w:rsidR="00F56BF9" w:rsidRPr="00CB2647">
        <w:t>-43</w:t>
      </w:r>
      <w:r w:rsidR="00FB2CC5" w:rsidRPr="00CB2647">
        <w:t xml:space="preserve"> yaş arasında olan 80 hasta</w:t>
      </w:r>
      <w:r w:rsidR="00640C94" w:rsidRPr="00CB2647">
        <w:t xml:space="preserve"> ele alınarak</w:t>
      </w:r>
      <w:r w:rsidR="00FB2CC5" w:rsidRPr="00CB2647">
        <w:t xml:space="preserve"> iki gruba ayrıldı.</w:t>
      </w:r>
      <w:r w:rsidR="00D03EFC">
        <w:t xml:space="preserve"> </w:t>
      </w:r>
      <w:r w:rsidR="00FB2CC5" w:rsidRPr="00CB2647">
        <w:t>Bir gruba tek lümen iğne ile follikül aspirasyonu uygulanırken diğer gruba çift lümen iğne ile follikül aspirasyonu uygulandı.Tek lümen iğne ile direk follikül aspire edildi,</w:t>
      </w:r>
      <w:r w:rsidR="00D26C86" w:rsidRPr="00CB2647">
        <w:t xml:space="preserve"> çift lümen iğnede </w:t>
      </w:r>
      <w:r w:rsidR="005A225C" w:rsidRPr="00CB2647">
        <w:t xml:space="preserve">ise </w:t>
      </w:r>
      <w:r w:rsidR="00FB2CC5" w:rsidRPr="00CB2647">
        <w:t>folliküle girdikten sonra follikül aspire edildi ardından follikül flush mediumu ile 3 defa y</w:t>
      </w:r>
      <w:r w:rsidR="00182ED7" w:rsidRPr="00CB2647">
        <w:t xml:space="preserve">ıkandı ve </w:t>
      </w:r>
      <w:r w:rsidR="00FB2CC5" w:rsidRPr="00CB2647">
        <w:t>aspire edi</w:t>
      </w:r>
      <w:r w:rsidR="00181EEB" w:rsidRPr="00CB2647">
        <w:t>ldi.</w:t>
      </w:r>
    </w:p>
    <w:p w:rsidR="0008783E" w:rsidRPr="00CB2647" w:rsidRDefault="00440C4C" w:rsidP="00440C4C">
      <w:r w:rsidRPr="00CB2647">
        <w:tab/>
      </w:r>
      <w:r w:rsidR="00181EEB" w:rsidRPr="00CB2647">
        <w:t>Çift lümen iğne kullanımın</w:t>
      </w:r>
      <w:r w:rsidR="00F56BF9" w:rsidRPr="00CB2647">
        <w:t>da</w:t>
      </w:r>
      <w:r w:rsidR="00D03EFC">
        <w:t xml:space="preserve"> </w:t>
      </w:r>
      <w:r w:rsidR="00181EEB" w:rsidRPr="00CB2647">
        <w:t>follikül yıkamasının en büyük nedenlerinden biri yıkama yapılmayan olgu</w:t>
      </w:r>
      <w:r w:rsidR="00F56BF9" w:rsidRPr="00CB2647">
        <w:t xml:space="preserve">larda daha az oosit elde edilebilmesi endişesinden </w:t>
      </w:r>
      <w:r w:rsidR="00181EEB" w:rsidRPr="00CB2647">
        <w:t>kaynaklanmaktadır.</w:t>
      </w:r>
      <w:r w:rsidR="00D03EFC">
        <w:t xml:space="preserve"> </w:t>
      </w:r>
      <w:r w:rsidR="00181EEB" w:rsidRPr="00CB2647">
        <w:t>Özellikle b</w:t>
      </w:r>
      <w:r w:rsidR="005A225C" w:rsidRPr="00CB2647">
        <w:t xml:space="preserve">u kötü over rezervli olgularda </w:t>
      </w:r>
      <w:r w:rsidR="00181EEB" w:rsidRPr="00CB2647">
        <w:t>yıkama yapılmaması durumunda daha az sayıda oosit toplanacağı endişesi yaratmıştır.</w:t>
      </w:r>
      <w:r w:rsidR="001D3EFA" w:rsidRPr="00CB2647">
        <w:t>Bu konu ile ilgili yapılan çalışmalardan biri Sasamato ve arkadaşlarının yaptığı bir çalışma olup diğer çalışmalardan farklı olarak OPU esnasında iğne dö</w:t>
      </w:r>
      <w:r w:rsidR="00905996" w:rsidRPr="00CB2647">
        <w:t>n</w:t>
      </w:r>
      <w:r w:rsidR="001D3EFA" w:rsidRPr="00CB2647">
        <w:t>dürülm</w:t>
      </w:r>
      <w:r w:rsidR="002B5EB5" w:rsidRPr="00CB2647">
        <w:t xml:space="preserve">esi uygulanmış ve aynı zamanda </w:t>
      </w:r>
      <w:r w:rsidR="001D3EFA" w:rsidRPr="00CB2647">
        <w:t>iğne tipinin etkileri incelenmiş</w:t>
      </w:r>
      <w:r w:rsidR="00905996" w:rsidRPr="00CB2647">
        <w:t>tir</w:t>
      </w:r>
      <w:r w:rsidR="001D3EFA" w:rsidRPr="00CB2647">
        <w:t>.İğnenin tek veya çift lümenli olması sonuçlar açısından fark göstermediği fakat iğnenin döndürülmesinin efektif olduğu gösterilmiş</w:t>
      </w:r>
      <w:r w:rsidR="009A5735" w:rsidRPr="00CB2647">
        <w:t>tir</w:t>
      </w:r>
      <w:r w:rsidR="00734CB0" w:rsidRPr="00CB2647">
        <w:t>(76</w:t>
      </w:r>
      <w:r w:rsidR="009A5735" w:rsidRPr="00CB2647">
        <w:t>).</w:t>
      </w:r>
    </w:p>
    <w:p w:rsidR="009A5735" w:rsidRPr="00CB2647" w:rsidRDefault="00440C4C" w:rsidP="00440C4C">
      <w:r w:rsidRPr="00CB2647">
        <w:tab/>
      </w:r>
      <w:r w:rsidR="00D73253" w:rsidRPr="00CB2647">
        <w:t xml:space="preserve">Tek lümen ve Çift lümen iğne kullanımı ile ilgili yapılan </w:t>
      </w:r>
      <w:r w:rsidR="009A5735" w:rsidRPr="00CB2647">
        <w:t>çalışma</w:t>
      </w:r>
      <w:r w:rsidR="00D73253" w:rsidRPr="00CB2647">
        <w:t>larda</w:t>
      </w:r>
      <w:r w:rsidR="009A5735" w:rsidRPr="00CB2647">
        <w:t xml:space="preserve"> follikül yıkama işleminin daha fazla oosit toplanmasına yol açmadığını göstermiştir.</w:t>
      </w:r>
      <w:r w:rsidR="00D03EFC">
        <w:t xml:space="preserve"> </w:t>
      </w:r>
      <w:r w:rsidR="0054243C" w:rsidRPr="00CB2647">
        <w:t xml:space="preserve">Bu çalışmalardan biri </w:t>
      </w:r>
      <w:r w:rsidR="009A5735" w:rsidRPr="00CB2647">
        <w:t xml:space="preserve">Wongtra-Ngan ve arkadaşlarının </w:t>
      </w:r>
      <w:r w:rsidR="0054243C" w:rsidRPr="00CB2647">
        <w:t>yaptığı çalışması olup</w:t>
      </w:r>
      <w:r w:rsidR="00D03EFC">
        <w:t xml:space="preserve"> </w:t>
      </w:r>
      <w:r w:rsidR="0054243C" w:rsidRPr="00CB2647">
        <w:t>çift lümenli iğ</w:t>
      </w:r>
      <w:r w:rsidR="009A5735" w:rsidRPr="00CB2647">
        <w:t>ne kullanımın sadece OPU süresini uzattığı</w:t>
      </w:r>
      <w:r w:rsidR="002B5EB5" w:rsidRPr="00CB2647">
        <w:t>nı</w:t>
      </w:r>
      <w:r w:rsidR="0054243C" w:rsidRPr="00CB2647">
        <w:t>,</w:t>
      </w:r>
      <w:r w:rsidR="009A5735" w:rsidRPr="00CB2647">
        <w:t>daha fazla oosit elde edilmesi</w:t>
      </w:r>
      <w:r w:rsidR="0054243C" w:rsidRPr="00CB2647">
        <w:t xml:space="preserve">ne </w:t>
      </w:r>
      <w:r w:rsidR="009A5735" w:rsidRPr="00CB2647">
        <w:t>neden olmadığı gösterilmiştir</w:t>
      </w:r>
      <w:r w:rsidR="00734CB0" w:rsidRPr="00CB2647">
        <w:t>(70</w:t>
      </w:r>
      <w:r w:rsidR="009A5735" w:rsidRPr="00CB2647">
        <w:t>).</w:t>
      </w:r>
    </w:p>
    <w:p w:rsidR="006F56B0" w:rsidRPr="00CB2647" w:rsidRDefault="00440C4C" w:rsidP="00440C4C">
      <w:r w:rsidRPr="00CB2647">
        <w:tab/>
      </w:r>
      <w:r w:rsidR="006F56B0" w:rsidRPr="00CB2647">
        <w:t xml:space="preserve">2012 yılında yayınlanan, güncel bir meta-analizde normal ovaryan rezervli hastalarda </w:t>
      </w:r>
      <w:r w:rsidR="002B5EB5" w:rsidRPr="00CB2647">
        <w:t xml:space="preserve">tek lümen ve çift </w:t>
      </w:r>
      <w:r w:rsidR="006F56B0" w:rsidRPr="00CB2647">
        <w:t>lümen iğne kullanımıda, her iki grupta toplanan oosit sayılarında, gebelik sonuçlarında anlamlı fark olmadığı gösterilmiştir</w:t>
      </w:r>
      <w:r w:rsidR="00734CB0" w:rsidRPr="00CB2647">
        <w:t>(77</w:t>
      </w:r>
      <w:r w:rsidR="006F56B0" w:rsidRPr="00CB2647">
        <w:t>).</w:t>
      </w:r>
    </w:p>
    <w:p w:rsidR="0054243C" w:rsidRPr="00CB2647" w:rsidRDefault="00440C4C" w:rsidP="00440C4C">
      <w:r w:rsidRPr="00CB2647">
        <w:tab/>
      </w:r>
      <w:r w:rsidR="0054243C" w:rsidRPr="00CB2647">
        <w:t xml:space="preserve">Kliniğimiz tarafınca </w:t>
      </w:r>
      <w:r w:rsidR="006F56B0" w:rsidRPr="00CB2647">
        <w:t>da</w:t>
      </w:r>
      <w:r w:rsidR="00D26C86" w:rsidRPr="00CB2647">
        <w:t xml:space="preserve"> normal ovaryan rezervli hastalarda</w:t>
      </w:r>
      <w:r w:rsidR="006F56B0" w:rsidRPr="00CB2647">
        <w:t xml:space="preserve"> yapılan randomize çalışmada tek ve çift lümenli iğneler karşılaştırılmış olup,</w:t>
      </w:r>
      <w:r w:rsidR="00D03EFC">
        <w:t xml:space="preserve"> </w:t>
      </w:r>
      <w:r w:rsidR="006F56B0" w:rsidRPr="00CB2647">
        <w:t>karşılaştırılan iğn</w:t>
      </w:r>
      <w:r w:rsidR="002B5EB5" w:rsidRPr="00CB2647">
        <w:t xml:space="preserve">eler arasında elde edilen oosit </w:t>
      </w:r>
      <w:r w:rsidR="006F56B0" w:rsidRPr="00CB2647">
        <w:t>sayısı,</w:t>
      </w:r>
      <w:r w:rsidR="00D03EFC">
        <w:t xml:space="preserve"> </w:t>
      </w:r>
      <w:r w:rsidR="006F56B0" w:rsidRPr="00CB2647">
        <w:t xml:space="preserve">metafaz II oosit sayısı,fertilizasyon oranları,embriyo sayısı,grade I embriyo sayısı ve klinik gebelik oaranları açısından anlamlı fark saptanmamıştır.Ancak çift lümen iğne kullanımında </w:t>
      </w:r>
      <w:r w:rsidR="00DD36EA" w:rsidRPr="00CB2647">
        <w:t>işlem süresi</w:t>
      </w:r>
      <w:r w:rsidR="006F56B0" w:rsidRPr="00CB2647">
        <w:t xml:space="preserve"> anlamlı olarak daha uzun bulunmuştur</w:t>
      </w:r>
      <w:r w:rsidR="00734CB0" w:rsidRPr="00CB2647">
        <w:t xml:space="preserve"> (71</w:t>
      </w:r>
      <w:r w:rsidR="00F56BF9" w:rsidRPr="00CB2647">
        <w:t>)</w:t>
      </w:r>
      <w:r w:rsidR="006F56B0" w:rsidRPr="00CB2647">
        <w:t>.</w:t>
      </w:r>
    </w:p>
    <w:p w:rsidR="00734CB0" w:rsidRPr="00CB2647" w:rsidRDefault="00440C4C" w:rsidP="00440C4C">
      <w:r w:rsidRPr="00CB2647">
        <w:tab/>
      </w:r>
      <w:r w:rsidR="00D26C86" w:rsidRPr="00CB2647">
        <w:t xml:space="preserve">Bizim çalışmamıza benzer bir çalışma olan ve kötü over rezervli hastalar üzerinde yapılan ilk </w:t>
      </w:r>
      <w:r w:rsidR="00905996" w:rsidRPr="00CB2647">
        <w:t xml:space="preserve">prospektif </w:t>
      </w:r>
      <w:r w:rsidR="00D26C86" w:rsidRPr="00CB2647">
        <w:t xml:space="preserve">randomize çalışma olan 2013 yılında Mok-Lin ve </w:t>
      </w:r>
      <w:r w:rsidR="00D26C86" w:rsidRPr="00CB2647">
        <w:lastRenderedPageBreak/>
        <w:t>arkadaşlarının yaptığı çalışmadır</w:t>
      </w:r>
      <w:r w:rsidR="00734CB0" w:rsidRPr="00CB2647">
        <w:t>(78</w:t>
      </w:r>
      <w:r w:rsidR="00D26C86" w:rsidRPr="00CB2647">
        <w:t>).</w:t>
      </w:r>
      <w:r w:rsidR="00092572" w:rsidRPr="00CB2647">
        <w:t xml:space="preserve">Çalışma aynı zamanda </w:t>
      </w:r>
      <w:r w:rsidR="00905996" w:rsidRPr="00CB2647">
        <w:t>çift lüme</w:t>
      </w:r>
      <w:r w:rsidR="007F5034" w:rsidRPr="00CB2647">
        <w:t>n</w:t>
      </w:r>
      <w:r w:rsidR="00905996" w:rsidRPr="00CB2647">
        <w:t xml:space="preserve"> iğne kullanımının İVF’in gebelik sonuçları </w:t>
      </w:r>
      <w:r w:rsidR="00092572" w:rsidRPr="00CB2647">
        <w:t>üzeri</w:t>
      </w:r>
      <w:r w:rsidR="00905996" w:rsidRPr="00CB2647">
        <w:t>ne negatif etkisini gösteren</w:t>
      </w:r>
      <w:r w:rsidR="00092572" w:rsidRPr="00CB2647">
        <w:t xml:space="preserve"> çalışma</w:t>
      </w:r>
      <w:r w:rsidR="00905996" w:rsidRPr="00CB2647">
        <w:t>dır</w:t>
      </w:r>
      <w:r w:rsidR="00092572" w:rsidRPr="00CB2647">
        <w:t>.</w:t>
      </w:r>
    </w:p>
    <w:p w:rsidR="00D26C86" w:rsidRPr="00CB2647" w:rsidRDefault="00440C4C" w:rsidP="00440C4C">
      <w:r w:rsidRPr="00CB2647">
        <w:tab/>
      </w:r>
      <w:r w:rsidR="00092572" w:rsidRPr="00CB2647">
        <w:t>Follikül yıkaması yapılan olgularda daha düşük implantasyon oranı</w:t>
      </w:r>
      <w:r w:rsidR="00D051AD" w:rsidRPr="00CB2647">
        <w:t>(%5,3</w:t>
      </w:r>
      <w:r w:rsidR="001827CE" w:rsidRPr="00CB2647">
        <w:t>)</w:t>
      </w:r>
      <w:r w:rsidR="00092572" w:rsidRPr="00CB2647">
        <w:t>,daha düşük embriyo transfer sayısı ve klinik gebelik oranının daha düşük</w:t>
      </w:r>
      <w:r w:rsidR="00D051AD" w:rsidRPr="00CB2647">
        <w:t>(%4 ve%</w:t>
      </w:r>
      <w:r w:rsidR="001827CE" w:rsidRPr="00CB2647">
        <w:t>5)</w:t>
      </w:r>
      <w:r w:rsidR="00092572" w:rsidRPr="00CB2647">
        <w:t xml:space="preserve"> olduğu saptanmıştır.</w:t>
      </w:r>
      <w:r w:rsidR="00A87092" w:rsidRPr="00CB2647">
        <w:t xml:space="preserve"> Ortaya çıkan sonuçlar y</w:t>
      </w:r>
      <w:r w:rsidR="001827CE" w:rsidRPr="00CB2647">
        <w:t>ıkama esnasında follikül içinde oluşan yüksek basınca bağlı olabileceğiveya çift lümen iğne kullanılan grupta anestezi süresinin</w:t>
      </w:r>
      <w:r w:rsidR="00BA2546" w:rsidRPr="00CB2647">
        <w:t xml:space="preserve">ve dolayısıyla işlem süresinin </w:t>
      </w:r>
      <w:r w:rsidR="00D915B8" w:rsidRPr="00CB2647">
        <w:t xml:space="preserve">daha fazla olması ve ona </w:t>
      </w:r>
      <w:r w:rsidR="001827CE" w:rsidRPr="00CB2647">
        <w:t xml:space="preserve">bağlı </w:t>
      </w:r>
      <w:r w:rsidR="00D915B8" w:rsidRPr="00CB2647">
        <w:t xml:space="preserve">oosit kalitesi üzerine </w:t>
      </w:r>
      <w:r w:rsidR="001827CE" w:rsidRPr="00CB2647">
        <w:t xml:space="preserve">oluşabilecek </w:t>
      </w:r>
      <w:r w:rsidR="00CF2633" w:rsidRPr="00CB2647">
        <w:t xml:space="preserve">zarardan kaynaklanabileceği </w:t>
      </w:r>
      <w:r w:rsidR="00A87092" w:rsidRPr="00CB2647">
        <w:t>hipotezleri savunulmuştur.</w:t>
      </w:r>
      <w:r w:rsidR="00D051AD" w:rsidRPr="00CB2647">
        <w:t xml:space="preserve"> Ancak daha önce normal yanıtlı hastalarda da aynı etkileri göstermemiş olması bu hipotezlerin çok yan tutucu yaklaşımlar olduğunu göstermektedir. Mok-Lin ve ark. Yaptığı çalışmada toplam 50 hasta vardır ve bu kadar az hasta sayısındaki düşük implantasyon oranları dikkate alınmamalıdır. OPU işlemi ortalama 4-5 dakika sürdüğü iç</w:t>
      </w:r>
      <w:r w:rsidR="007F5034" w:rsidRPr="00CB2647">
        <w:t>in işlem esnasında anestezik ajana ma</w:t>
      </w:r>
      <w:r w:rsidR="00D051AD" w:rsidRPr="00CB2647">
        <w:t>ruziyet nerdeyse imkansızdır. Çünkü kandaki anestetik kararlı durum konsantrasyonu sağlandıktan sonra perfüzyonla follikül sıvısına geçmesi ve oositi etkilemesi için geçecek süre OPU işlemiyle karşılaştırıldığında bunun olması beklenemez.</w:t>
      </w:r>
    </w:p>
    <w:p w:rsidR="003024F3" w:rsidRPr="00CB2647" w:rsidRDefault="00520378" w:rsidP="00520378">
      <w:r w:rsidRPr="00CB2647">
        <w:tab/>
      </w:r>
      <w:r w:rsidR="003024F3" w:rsidRPr="00CB2647">
        <w:t>Tek randomize çalışma olan Mok-Lin ve ark.</w:t>
      </w:r>
      <w:r w:rsidR="00D03EFC">
        <w:t xml:space="preserve"> </w:t>
      </w:r>
      <w:r w:rsidR="003024F3" w:rsidRPr="00CB2647">
        <w:t>çalışmasında yıkama sonrası elde edilen oositlerin sayısının fazla olmasına rağmen kalitesinin düştüğü ve buna bağlı olarak azalmış implantasyon ve gebelik oranı bildirmiştir. Oosit kalitesinin düştüğü yıkama medyumuna ve anestezi süresine bağlanamaz. Ancak sayı daha yüksek olsa da kötü kalitenin gelmesi önemlidir. Bizim çalışmamızda gebelik ve implantasyon oranları her iki grupta da aynı çıkmıştır. Bizim bu çalışmada esas hedefimiz “yumurta gelmeme endişesini” tek lümen kullanarak değerlendirmektir. Bu çalışma bizlere tek lümen kullanıldığında çift lümenden farksız oosit elde etme yeteneğini göstermiştir ki bu sonuç bizim birincil sonucumuzdur. İkincil sonuçlar olan gebelik ve implantasyon başarısı da her iki grupta aynı saptanmıştır. Bu nedenle “yumurta gelmeme” endişesinin yersiz olduğu bu randomize çalışma ile güncel bir veri oluşmuştur.</w:t>
      </w:r>
    </w:p>
    <w:p w:rsidR="00092572" w:rsidRPr="00CB2647" w:rsidRDefault="00520378" w:rsidP="00520378">
      <w:r w:rsidRPr="00CB2647">
        <w:tab/>
      </w:r>
      <w:r w:rsidR="002C5E2C" w:rsidRPr="00CB2647">
        <w:t>Bizim çalışmamızda,</w:t>
      </w:r>
      <w:r w:rsidR="00D03EFC">
        <w:t xml:space="preserve"> </w:t>
      </w:r>
      <w:r w:rsidR="00092572" w:rsidRPr="00CB2647">
        <w:t xml:space="preserve">tek lümen iğne kullanılan grupta sayı olarak daha yüksek klinik gebelik oranı saptanmış olsada </w:t>
      </w:r>
      <w:r w:rsidR="00E84D62" w:rsidRPr="00CB2647">
        <w:t xml:space="preserve">çift lümen iğne kullanılan grup ile karşılaştırıldığında </w:t>
      </w:r>
      <w:r w:rsidR="00092572" w:rsidRPr="00CB2647">
        <w:t>istatisti</w:t>
      </w:r>
      <w:r w:rsidR="00B41874" w:rsidRPr="00CB2647">
        <w:t>ksel olarak anlamlı fark saptan</w:t>
      </w:r>
      <w:r w:rsidR="00BA2546" w:rsidRPr="00CB2647">
        <w:t xml:space="preserve">mamıştır. </w:t>
      </w:r>
      <w:r w:rsidR="00387D55" w:rsidRPr="00CB2647">
        <w:t xml:space="preserve">Çift lümen grubunda </w:t>
      </w:r>
      <w:r w:rsidR="00BA2546" w:rsidRPr="00CB2647">
        <w:t>OPU süre</w:t>
      </w:r>
      <w:r w:rsidR="00387D55" w:rsidRPr="00CB2647">
        <w:t xml:space="preserve">sinin daha uzun olması çalışmamızda ortaya çıkan tek istatistiksel anlamlı fark iken, </w:t>
      </w:r>
      <w:r w:rsidR="00092572" w:rsidRPr="00CB2647">
        <w:t xml:space="preserve">implantasyon oranları </w:t>
      </w:r>
      <w:r w:rsidR="00271424" w:rsidRPr="00CB2647">
        <w:t>ve transfer edi</w:t>
      </w:r>
      <w:r w:rsidR="00BA2546" w:rsidRPr="00CB2647">
        <w:t xml:space="preserve">len embriyo sayısı açısından </w:t>
      </w:r>
      <w:r w:rsidR="00271424" w:rsidRPr="00CB2647">
        <w:t xml:space="preserve">anlamlı </w:t>
      </w:r>
      <w:r w:rsidR="00B41874" w:rsidRPr="00CB2647">
        <w:t>fark saptanmamıştır.</w:t>
      </w:r>
    </w:p>
    <w:p w:rsidR="00E84D62" w:rsidRPr="00CB2647" w:rsidRDefault="00520378" w:rsidP="00520378">
      <w:r w:rsidRPr="00CB2647">
        <w:lastRenderedPageBreak/>
        <w:tab/>
      </w:r>
      <w:r w:rsidR="00E84D62" w:rsidRPr="00CB2647">
        <w:t xml:space="preserve">Mok-Lin ve arkadaşlarının çalışmasında </w:t>
      </w:r>
      <w:r w:rsidR="001827CE" w:rsidRPr="00CB2647">
        <w:t xml:space="preserve">yumurta çatlatma zamanı </w:t>
      </w:r>
      <w:r w:rsidR="00E84D62" w:rsidRPr="00CB2647">
        <w:t>1-4 follikül</w:t>
      </w:r>
      <w:r w:rsidR="001827CE" w:rsidRPr="00CB2647">
        <w:t xml:space="preserve"> arasında olgular çalışmaya dahil edilirken bizim ça</w:t>
      </w:r>
      <w:r w:rsidR="00E84D62" w:rsidRPr="00CB2647">
        <w:t>lışmamızda 5 follikül ve altında</w:t>
      </w:r>
      <w:r w:rsidR="001827CE" w:rsidRPr="00CB2647">
        <w:t xml:space="preserve"> olan hastalar çalışma</w:t>
      </w:r>
      <w:r w:rsidR="00D915B8" w:rsidRPr="00CB2647">
        <w:t>ya</w:t>
      </w:r>
      <w:r w:rsidR="001827CE" w:rsidRPr="00CB2647">
        <w:t xml:space="preserve"> dahil edilirken,</w:t>
      </w:r>
      <w:r w:rsidR="00D03EFC">
        <w:t xml:space="preserve"> </w:t>
      </w:r>
      <w:r w:rsidR="001827CE" w:rsidRPr="00CB2647">
        <w:t>monofolliküler olanlar çalışmaya dahil edilmemiştir.</w:t>
      </w:r>
      <w:r w:rsidR="00666C6A" w:rsidRPr="00CB2647">
        <w:t>Yaş aralığı olarak çalışmamızda direk aspirasyon yapılan grupta 34</w:t>
      </w:r>
      <w:r w:rsidRPr="00CB2647">
        <w:t>,</w:t>
      </w:r>
      <w:r w:rsidR="00666C6A" w:rsidRPr="00CB2647">
        <w:t>3,yıkama yapılan grupta 36</w:t>
      </w:r>
      <w:r w:rsidRPr="00CB2647">
        <w:t>,</w:t>
      </w:r>
      <w:r w:rsidR="00666C6A" w:rsidRPr="00CB2647">
        <w:t>2 olarak alınmıştır.Mok-Lin ve arkadaşlarının çalışmasında bizim çalışmamıza ve yapılan diğer randomi</w:t>
      </w:r>
      <w:r w:rsidR="005649F0" w:rsidRPr="00CB2647">
        <w:t xml:space="preserve">ze prospektif çalışmalara göre </w:t>
      </w:r>
      <w:r w:rsidR="00666C6A" w:rsidRPr="00CB2647">
        <w:t>çalışmalara göre daha y</w:t>
      </w:r>
      <w:r w:rsidR="00562486" w:rsidRPr="00CB2647">
        <w:t xml:space="preserve">aşlı popülasyona sahip olup yaş </w:t>
      </w:r>
      <w:r w:rsidR="00666C6A" w:rsidRPr="00CB2647">
        <w:t>aralığı 38</w:t>
      </w:r>
      <w:r w:rsidRPr="00CB2647">
        <w:t>,</w:t>
      </w:r>
      <w:r w:rsidR="00666C6A" w:rsidRPr="00CB2647">
        <w:t>2 ile 39</w:t>
      </w:r>
      <w:r w:rsidRPr="00CB2647">
        <w:t>,</w:t>
      </w:r>
      <w:r w:rsidR="00666C6A" w:rsidRPr="00CB2647">
        <w:t xml:space="preserve">5 olarak alınmıştır.Levens ve arkadaşlarının kötü over rezervli hastalar üzerinde yapılan çalışmasında </w:t>
      </w:r>
      <w:r w:rsidR="00562486" w:rsidRPr="00CB2647">
        <w:t xml:space="preserve">çalışmamıza benzer olarak yaş </w:t>
      </w:r>
      <w:r w:rsidR="009E5C65" w:rsidRPr="00CB2647">
        <w:t>aralığı 36</w:t>
      </w:r>
      <w:r w:rsidRPr="00CB2647">
        <w:t>,</w:t>
      </w:r>
      <w:r w:rsidR="009E5C65" w:rsidRPr="00CB2647">
        <w:t>2 ile 37</w:t>
      </w:r>
      <w:r w:rsidRPr="00CB2647">
        <w:t>,</w:t>
      </w:r>
      <w:r w:rsidR="009E5C65" w:rsidRPr="00CB2647">
        <w:t xml:space="preserve">1 olarak </w:t>
      </w:r>
      <w:r w:rsidR="00E15E2A" w:rsidRPr="00CB2647">
        <w:t>alınmıştır</w:t>
      </w:r>
      <w:r w:rsidR="00734CB0" w:rsidRPr="00CB2647">
        <w:t>(4</w:t>
      </w:r>
      <w:r w:rsidR="00E15E2A" w:rsidRPr="00CB2647">
        <w:t>).</w:t>
      </w:r>
    </w:p>
    <w:p w:rsidR="00F57128" w:rsidRPr="00CB2647" w:rsidRDefault="00520378" w:rsidP="00520378">
      <w:r w:rsidRPr="00CB2647">
        <w:tab/>
      </w:r>
      <w:r w:rsidR="002A5EAB" w:rsidRPr="00CB2647">
        <w:t>Çalışmam</w:t>
      </w:r>
      <w:r w:rsidR="00F57128" w:rsidRPr="00CB2647">
        <w:t>ızın kısıtlamalarından biri</w:t>
      </w:r>
      <w:r w:rsidR="002A5EAB" w:rsidRPr="00CB2647">
        <w:t xml:space="preserve"> natüral siklüs olanların çalışmaya dahil edilmemiş olmasıdır.</w:t>
      </w:r>
      <w:r w:rsidR="00D03EFC">
        <w:t xml:space="preserve"> </w:t>
      </w:r>
      <w:r w:rsidR="00F57128" w:rsidRPr="00CB2647">
        <w:t xml:space="preserve">Natüral siklus </w:t>
      </w:r>
      <w:r w:rsidR="00E95EE3" w:rsidRPr="00CB2647">
        <w:t xml:space="preserve">olan </w:t>
      </w:r>
      <w:r w:rsidR="00F57128" w:rsidRPr="00CB2647">
        <w:t>ol</w:t>
      </w:r>
      <w:r w:rsidR="00E95EE3" w:rsidRPr="00CB2647">
        <w:t>guları ve minimal stimülasyon uygulanan olguları</w:t>
      </w:r>
      <w:r w:rsidR="00F57128" w:rsidRPr="00CB2647">
        <w:t xml:space="preserve"> bazı çalışmalar çift lümen grubuna almayı tercih etmişlerdir</w:t>
      </w:r>
      <w:r w:rsidR="00734CB0" w:rsidRPr="00CB2647">
        <w:t>(79</w:t>
      </w:r>
      <w:r w:rsidR="00F57128" w:rsidRPr="00CB2647">
        <w:t>,</w:t>
      </w:r>
      <w:r w:rsidR="00734CB0" w:rsidRPr="00CB2647">
        <w:t>8</w:t>
      </w:r>
      <w:r w:rsidR="003024F3" w:rsidRPr="00CB2647">
        <w:t>0</w:t>
      </w:r>
      <w:r w:rsidR="00F57128" w:rsidRPr="00CB2647">
        <w:t>)</w:t>
      </w:r>
      <w:r w:rsidR="00E95EE3" w:rsidRPr="00CB2647">
        <w:t>.Ancak</w:t>
      </w:r>
      <w:r w:rsidR="00387D55" w:rsidRPr="00CB2647">
        <w:t xml:space="preserve"> literatürde </w:t>
      </w:r>
      <w:r w:rsidR="00F57128" w:rsidRPr="00CB2647">
        <w:t>bunu destekleyen randomize kontrollü çalışma yoktur.</w:t>
      </w:r>
    </w:p>
    <w:p w:rsidR="000652D1" w:rsidRPr="00CB2647" w:rsidRDefault="00520378" w:rsidP="00520378">
      <w:r w:rsidRPr="00CB2647">
        <w:tab/>
      </w:r>
      <w:r w:rsidR="00D47097" w:rsidRPr="00CB2647">
        <w:t>Sonuç olarak çalışmamızdakötü over rezervli hastalarda tek lümen iğne kullanımı ile çift lümen iğne kullanımı arasında diğer çalışmalarda olduğu gibi toplanan oosit sayısı ve klinik gebelik oranı açısından fark saptanamamıştır.</w:t>
      </w:r>
      <w:r w:rsidR="00D03EFC">
        <w:t xml:space="preserve"> </w:t>
      </w:r>
      <w:r w:rsidR="00D47097" w:rsidRPr="00CB2647">
        <w:t>Sonuçlara bakıldığında bundan sonra çift lümen</w:t>
      </w:r>
      <w:r w:rsidR="00D03EFC">
        <w:t xml:space="preserve"> </w:t>
      </w:r>
      <w:r w:rsidR="00D47097" w:rsidRPr="00CB2647">
        <w:t>kullanımı</w:t>
      </w:r>
      <w:r w:rsidR="00EA4A36" w:rsidRPr="00CB2647">
        <w:t>nın gerekliliği ve rutin pratikte</w:t>
      </w:r>
      <w:r w:rsidR="00D47097" w:rsidRPr="00CB2647">
        <w:t xml:space="preserve"> özellikle bu grup hasta üzeri</w:t>
      </w:r>
      <w:r w:rsidR="00D720FF" w:rsidRPr="00CB2647">
        <w:t>nde eskisi kadar kullanılması tartışma konusu olacağı düşüncesindeyiz.</w:t>
      </w:r>
    </w:p>
    <w:p w:rsidR="005A225C" w:rsidRPr="00CB2647" w:rsidRDefault="005A225C" w:rsidP="00520378"/>
    <w:p w:rsidR="003024F3" w:rsidRPr="00CB2647" w:rsidRDefault="003024F3" w:rsidP="00520378"/>
    <w:p w:rsidR="00BC3C06" w:rsidRPr="00CB2647" w:rsidRDefault="00BC3C06" w:rsidP="00520378"/>
    <w:p w:rsidR="00BC3C06" w:rsidRPr="00CB2647" w:rsidRDefault="00BC3C06" w:rsidP="00520378"/>
    <w:p w:rsidR="00BC3C06" w:rsidRPr="00CB2647" w:rsidRDefault="00BC3C06" w:rsidP="00520378"/>
    <w:p w:rsidR="00BC3C06" w:rsidRPr="00CB2647" w:rsidRDefault="00BC3C06" w:rsidP="00520378"/>
    <w:p w:rsidR="00BC3C06" w:rsidRPr="00CB2647" w:rsidRDefault="00BC3C06" w:rsidP="00520378"/>
    <w:p w:rsidR="00BC3C06" w:rsidRPr="00CB2647" w:rsidRDefault="00BC3C06" w:rsidP="00520378"/>
    <w:p w:rsidR="00BC3C06" w:rsidRPr="00CB2647" w:rsidRDefault="00BC3C06" w:rsidP="00520378"/>
    <w:p w:rsidR="00384AFF" w:rsidRPr="00CB2647" w:rsidRDefault="00384AFF" w:rsidP="00520378"/>
    <w:p w:rsidR="00520378" w:rsidRPr="00CB2647" w:rsidRDefault="00520378">
      <w:pPr>
        <w:tabs>
          <w:tab w:val="clear" w:pos="709"/>
        </w:tabs>
        <w:spacing w:after="200" w:line="276" w:lineRule="auto"/>
        <w:jc w:val="left"/>
        <w:rPr>
          <w:rFonts w:cs="Times New Roman"/>
          <w:b/>
          <w:sz w:val="28"/>
          <w:szCs w:val="28"/>
        </w:rPr>
      </w:pPr>
      <w:r w:rsidRPr="00CB2647">
        <w:rPr>
          <w:rFonts w:cs="Times New Roman"/>
          <w:b/>
          <w:sz w:val="28"/>
          <w:szCs w:val="28"/>
        </w:rPr>
        <w:br w:type="page"/>
      </w:r>
    </w:p>
    <w:p w:rsidR="00C6739D" w:rsidRPr="00CB2647" w:rsidRDefault="007A105C" w:rsidP="00520378">
      <w:pPr>
        <w:pStyle w:val="Balk1"/>
        <w:jc w:val="center"/>
        <w:rPr>
          <w:szCs w:val="24"/>
        </w:rPr>
      </w:pPr>
      <w:bookmarkStart w:id="31" w:name="_Toc432062043"/>
      <w:r>
        <w:lastRenderedPageBreak/>
        <w:t xml:space="preserve">6. </w:t>
      </w:r>
      <w:r w:rsidR="00C6739D" w:rsidRPr="00CB2647">
        <w:t>KAYNAKLAR</w:t>
      </w:r>
      <w:bookmarkEnd w:id="31"/>
    </w:p>
    <w:p w:rsidR="00C6739D" w:rsidRPr="00CB2647" w:rsidRDefault="00C6739D" w:rsidP="002A1FC7">
      <w:pPr>
        <w:spacing w:line="240" w:lineRule="auto"/>
        <w:ind w:left="426" w:hanging="426"/>
      </w:pPr>
      <w:r w:rsidRPr="00CB2647">
        <w:t>1.Wikland M,Enk L,Hammarberg K</w:t>
      </w:r>
      <w:r w:rsidR="00CB2647">
        <w:t xml:space="preserve">, </w:t>
      </w:r>
      <w:r w:rsidRPr="00CB2647">
        <w:t>Nilson L.Use of a vaginaltransducer for oocyte retrieval in an İVF/ET program.J Clin Ultrasound15:245-51</w:t>
      </w:r>
      <w:r w:rsidR="00CB2647">
        <w:t xml:space="preserve">, </w:t>
      </w:r>
      <w:r w:rsidR="00CB2647" w:rsidRPr="00CB2647">
        <w:t>1987</w:t>
      </w:r>
      <w:r w:rsidRPr="00CB2647">
        <w:t>.</w:t>
      </w:r>
    </w:p>
    <w:p w:rsidR="002A1FC7" w:rsidRPr="00CB2647" w:rsidRDefault="002A1FC7" w:rsidP="002A1FC7">
      <w:pPr>
        <w:spacing w:line="240" w:lineRule="auto"/>
        <w:ind w:left="426" w:hanging="426"/>
      </w:pPr>
    </w:p>
    <w:p w:rsidR="00C6739D" w:rsidRPr="00CB2647" w:rsidRDefault="00C6739D" w:rsidP="002A1FC7">
      <w:pPr>
        <w:spacing w:line="240" w:lineRule="auto"/>
        <w:ind w:left="426" w:hanging="426"/>
      </w:pPr>
      <w:r w:rsidRPr="00CB2647">
        <w:t>2.Hammarberg K,Enk L,Nilsson L,Wikland M.Oocyte retrieval under the guidance of a vaginal transducer:evaluation of patient acceptance.Hum Reprod2:487-90</w:t>
      </w:r>
      <w:r w:rsidR="00CB2647">
        <w:t xml:space="preserve">, </w:t>
      </w:r>
      <w:r w:rsidR="00CB2647" w:rsidRPr="00CB2647">
        <w:t>1987</w:t>
      </w:r>
      <w:r w:rsidR="00CB2647">
        <w:t>.</w:t>
      </w:r>
    </w:p>
    <w:p w:rsidR="002A1FC7" w:rsidRPr="00CB2647" w:rsidRDefault="002A1FC7" w:rsidP="002A1FC7">
      <w:pPr>
        <w:spacing w:line="240" w:lineRule="auto"/>
        <w:ind w:left="426" w:hanging="426"/>
      </w:pPr>
    </w:p>
    <w:p w:rsidR="00C6739D" w:rsidRPr="00CB2647" w:rsidRDefault="00C6739D" w:rsidP="002A1FC7">
      <w:pPr>
        <w:spacing w:line="240" w:lineRule="auto"/>
        <w:ind w:left="426" w:hanging="426"/>
      </w:pPr>
      <w:r w:rsidRPr="00CB2647">
        <w:t xml:space="preserve">3. </w:t>
      </w:r>
      <w:r w:rsidR="00243742" w:rsidRPr="00CB2647">
        <w:t xml:space="preserve">Sakıncı </w:t>
      </w:r>
      <w:r w:rsidR="007B05B2" w:rsidRPr="00CB2647">
        <w:t>M,</w:t>
      </w:r>
      <w:r w:rsidRPr="00CB2647">
        <w:t>Ercan</w:t>
      </w:r>
      <w:r w:rsidR="007B05B2" w:rsidRPr="00CB2647">
        <w:t xml:space="preserve"> Mutlu C,</w:t>
      </w:r>
      <w:r w:rsidRPr="00CB2647">
        <w:t>Çetinkaya</w:t>
      </w:r>
      <w:r w:rsidR="007B05B2" w:rsidRPr="00CB2647">
        <w:t xml:space="preserve"> Bilge M</w:t>
      </w:r>
      <w:r w:rsidRPr="00CB2647">
        <w:t>.Opu İşlemi ve Komplikasyonları.Uludağ Üniversitesi Tıp Fak</w:t>
      </w:r>
      <w:r w:rsidR="003A11FC" w:rsidRPr="00CB2647">
        <w:t xml:space="preserve">ültesi </w:t>
      </w:r>
      <w:r w:rsidR="00CB2647">
        <w:t>D</w:t>
      </w:r>
      <w:r w:rsidR="003A11FC" w:rsidRPr="00CB2647">
        <w:t>ergisi38(3)</w:t>
      </w:r>
      <w:r w:rsidR="007B05B2" w:rsidRPr="00CB2647">
        <w:t>:</w:t>
      </w:r>
      <w:r w:rsidR="003A11FC" w:rsidRPr="00CB2647">
        <w:t>219-225</w:t>
      </w:r>
      <w:r w:rsidR="00CB2647">
        <w:t xml:space="preserve">, </w:t>
      </w:r>
      <w:r w:rsidR="00CB2647" w:rsidRPr="00CB2647">
        <w:t>2012</w:t>
      </w:r>
      <w:r w:rsidR="00CB2647">
        <w:t>.</w:t>
      </w:r>
    </w:p>
    <w:p w:rsidR="002A1FC7" w:rsidRPr="00CB2647" w:rsidRDefault="002A1FC7" w:rsidP="002A1FC7">
      <w:pPr>
        <w:spacing w:line="240" w:lineRule="auto"/>
        <w:ind w:left="426" w:hanging="426"/>
      </w:pPr>
    </w:p>
    <w:p w:rsidR="002D0594" w:rsidRPr="00CB2647" w:rsidRDefault="00CC1126" w:rsidP="002A1FC7">
      <w:pPr>
        <w:spacing w:line="240" w:lineRule="auto"/>
        <w:ind w:left="426" w:hanging="426"/>
      </w:pPr>
      <w:r w:rsidRPr="00CB2647">
        <w:t>4.</w:t>
      </w:r>
      <w:r w:rsidR="002D0594" w:rsidRPr="00CB2647">
        <w:t>Levens ED, Whitcomb BW, Payson MD, Larsen FW. Ovarian follicular flushing among low-responding patients undergoing assisted reproductive technology. Fertil Steril91:1381-1384</w:t>
      </w:r>
      <w:r w:rsidR="00CB2647">
        <w:t xml:space="preserve">, </w:t>
      </w:r>
      <w:r w:rsidR="00CB2647" w:rsidRPr="00CB2647">
        <w:t>2009</w:t>
      </w:r>
      <w:r w:rsidR="00CB2647">
        <w:t>.</w:t>
      </w:r>
    </w:p>
    <w:p w:rsidR="002A1FC7" w:rsidRPr="00CB2647" w:rsidRDefault="002A1FC7" w:rsidP="002A1FC7">
      <w:pPr>
        <w:spacing w:line="240" w:lineRule="auto"/>
        <w:ind w:left="426" w:hanging="426"/>
      </w:pPr>
    </w:p>
    <w:p w:rsidR="00CC1126" w:rsidRPr="00CB2647" w:rsidRDefault="002D0594" w:rsidP="002A1FC7">
      <w:pPr>
        <w:spacing w:line="240" w:lineRule="auto"/>
        <w:ind w:left="426" w:hanging="426"/>
      </w:pPr>
      <w:r w:rsidRPr="00CB2647">
        <w:t>5.</w:t>
      </w:r>
      <w:r w:rsidR="00CC1126" w:rsidRPr="00CB2647">
        <w:t>Çalışkan E,Çakıroğlu Y.Oosit toplama işleminin Komplikasyonları</w:t>
      </w:r>
      <w:r w:rsidR="00905996" w:rsidRPr="00CB2647">
        <w:t xml:space="preserve"> (YÜT Teknikleri basım aşamasında).</w:t>
      </w:r>
    </w:p>
    <w:p w:rsidR="002A1FC7" w:rsidRPr="00CB2647" w:rsidRDefault="002A1FC7" w:rsidP="002A1FC7">
      <w:pPr>
        <w:spacing w:line="240" w:lineRule="auto"/>
        <w:ind w:left="426" w:hanging="426"/>
      </w:pPr>
    </w:p>
    <w:p w:rsidR="003A11FC" w:rsidRPr="00CB2647" w:rsidRDefault="002D0594" w:rsidP="002A1FC7">
      <w:pPr>
        <w:spacing w:line="240" w:lineRule="auto"/>
        <w:ind w:left="426" w:hanging="426"/>
      </w:pPr>
      <w:r w:rsidRPr="00CB2647">
        <w:t>6</w:t>
      </w:r>
      <w:r w:rsidR="00CC1126" w:rsidRPr="00CB2647">
        <w:t>.</w:t>
      </w:r>
      <w:r w:rsidR="007B05B2" w:rsidRPr="00CB2647">
        <w:t>Wikland M</w:t>
      </w:r>
      <w:r w:rsidR="00CC1126" w:rsidRPr="00CB2647">
        <w:t>,Enk L,Hmaberger L</w:t>
      </w:r>
      <w:r w:rsidR="00CB2647">
        <w:t xml:space="preserve">. </w:t>
      </w:r>
      <w:r w:rsidR="00CC1126" w:rsidRPr="00CB2647">
        <w:t xml:space="preserve">Transvesical </w:t>
      </w:r>
      <w:r w:rsidR="002B5EB5" w:rsidRPr="00CB2647">
        <w:t>and transvajinal approaches for t</w:t>
      </w:r>
      <w:r w:rsidR="00CC1126" w:rsidRPr="00CB2647">
        <w:t>he aspiration of follicles by use of ultrasound.Ann N Y Acad Sci442:182-94</w:t>
      </w:r>
      <w:r w:rsidR="00CB2647">
        <w:t xml:space="preserve">, </w:t>
      </w:r>
      <w:r w:rsidR="00CB2647" w:rsidRPr="00CB2647">
        <w:t>1985</w:t>
      </w:r>
      <w:r w:rsidR="00CB2647">
        <w:t>.</w:t>
      </w:r>
    </w:p>
    <w:p w:rsidR="002A1FC7" w:rsidRPr="00CB2647" w:rsidRDefault="002A1FC7" w:rsidP="002A1FC7">
      <w:pPr>
        <w:spacing w:line="240" w:lineRule="auto"/>
        <w:ind w:left="426" w:hanging="426"/>
      </w:pPr>
    </w:p>
    <w:p w:rsidR="00CB2647" w:rsidRPr="00CB2647" w:rsidRDefault="002D0594" w:rsidP="00CB2647">
      <w:pPr>
        <w:spacing w:line="240" w:lineRule="auto"/>
        <w:ind w:left="426" w:hanging="426"/>
      </w:pPr>
      <w:r w:rsidRPr="00CB2647">
        <w:t>7</w:t>
      </w:r>
      <w:r w:rsidR="00A97F82" w:rsidRPr="00CB2647">
        <w:t>.Barton SE,Politch</w:t>
      </w:r>
      <w:r w:rsidR="009C6D87" w:rsidRPr="00CB2647">
        <w:t xml:space="preserve"> JA;Benson CB,Gins</w:t>
      </w:r>
      <w:r w:rsidR="00804821" w:rsidRPr="00CB2647">
        <w:t>burg ES,Garguilo AR.Transabdominal folliculer aspiration for oocyte retrieval in patients with ovaries inaccessible by transvaginal ultrasound.Fertil Steril95:1773-6</w:t>
      </w:r>
      <w:r w:rsidR="00CB2647">
        <w:t xml:space="preserve">, </w:t>
      </w:r>
      <w:r w:rsidR="00CB2647" w:rsidRPr="00CB2647">
        <w:t>2011</w:t>
      </w:r>
      <w:r w:rsidR="00CB2647">
        <w:t>.</w:t>
      </w:r>
    </w:p>
    <w:p w:rsidR="002A1FC7" w:rsidRPr="00CB2647" w:rsidRDefault="002A1FC7" w:rsidP="002A1FC7">
      <w:pPr>
        <w:spacing w:line="240" w:lineRule="auto"/>
        <w:ind w:left="426" w:hanging="426"/>
      </w:pPr>
    </w:p>
    <w:p w:rsidR="00804821" w:rsidRPr="00CB2647" w:rsidRDefault="002D0594" w:rsidP="002A1FC7">
      <w:pPr>
        <w:spacing w:line="240" w:lineRule="auto"/>
        <w:ind w:left="426" w:hanging="426"/>
      </w:pPr>
      <w:r w:rsidRPr="00CB2647">
        <w:t>8</w:t>
      </w:r>
      <w:r w:rsidR="00C9222C" w:rsidRPr="00CB2647">
        <w:t>.Speroff L,Fritz MA</w:t>
      </w:r>
      <w:r w:rsidR="00CB2647">
        <w:t>.</w:t>
      </w:r>
      <w:r w:rsidR="00C9222C" w:rsidRPr="00CB2647">
        <w:t>Clinical Gynecologic</w:t>
      </w:r>
      <w:r w:rsidR="00804821" w:rsidRPr="00CB2647">
        <w:t xml:space="preserve"> and İnfertility,chapter 32</w:t>
      </w:r>
    </w:p>
    <w:p w:rsidR="002A1FC7" w:rsidRPr="00CB2647" w:rsidRDefault="002A1FC7" w:rsidP="002A1FC7">
      <w:pPr>
        <w:spacing w:line="240" w:lineRule="auto"/>
        <w:ind w:left="426" w:hanging="426"/>
      </w:pPr>
    </w:p>
    <w:p w:rsidR="00C9222C" w:rsidRPr="00CB2647" w:rsidRDefault="002D0594" w:rsidP="002A1FC7">
      <w:pPr>
        <w:spacing w:line="240" w:lineRule="auto"/>
        <w:ind w:left="426" w:hanging="426"/>
      </w:pPr>
      <w:r w:rsidRPr="00CB2647">
        <w:t>9</w:t>
      </w:r>
      <w:r w:rsidR="00243742" w:rsidRPr="00CB2647">
        <w:t xml:space="preserve">. </w:t>
      </w:r>
      <w:r w:rsidR="00C9222C" w:rsidRPr="00CB2647">
        <w:t>Mohamed KA,Davies WAR,Allsop J,Lashen H.Agonist’flare up’versus antagonist in the managment of poor responders undergoing in-vitro fertilization treatment.Fertil Steril83:331-5</w:t>
      </w:r>
      <w:r w:rsidR="00CB2647">
        <w:t xml:space="preserve">, </w:t>
      </w:r>
      <w:r w:rsidR="00CB2647" w:rsidRPr="00CB2647">
        <w:t>2005</w:t>
      </w:r>
      <w:r w:rsidR="00CB2647">
        <w:t>.</w:t>
      </w:r>
    </w:p>
    <w:p w:rsidR="002A1FC7" w:rsidRPr="00CB2647" w:rsidRDefault="002A1FC7" w:rsidP="002A1FC7">
      <w:pPr>
        <w:spacing w:line="240" w:lineRule="auto"/>
        <w:ind w:left="426" w:hanging="426"/>
      </w:pPr>
    </w:p>
    <w:p w:rsidR="00C9222C" w:rsidRPr="00CB2647" w:rsidRDefault="002D0594" w:rsidP="002A1FC7">
      <w:pPr>
        <w:spacing w:line="240" w:lineRule="auto"/>
        <w:ind w:left="426" w:hanging="426"/>
      </w:pPr>
      <w:r w:rsidRPr="00CB2647">
        <w:t>10</w:t>
      </w:r>
      <w:r w:rsidR="00C9222C" w:rsidRPr="00CB2647">
        <w:t>.El-Toukhy T,Khalaf Y,</w:t>
      </w:r>
      <w:r w:rsidR="001513A2" w:rsidRPr="00CB2647">
        <w:t xml:space="preserve"> Hart R, </w:t>
      </w:r>
      <w:r w:rsidR="00C9222C" w:rsidRPr="00CB2647">
        <w:t>Taylor A,Braude P</w:t>
      </w:r>
      <w:r w:rsidR="00105291" w:rsidRPr="00CB2647">
        <w:t>.Young age does not protect againts the adverse effects of reduced ovarian reserve-an eight year study.Hum Reprod17:1519-1524</w:t>
      </w:r>
      <w:r w:rsidR="00CB2647">
        <w:t xml:space="preserve">, </w:t>
      </w:r>
      <w:r w:rsidR="00CB2647" w:rsidRPr="00CB2647">
        <w:t>2002</w:t>
      </w:r>
      <w:r w:rsidR="00CB2647">
        <w:t>.</w:t>
      </w:r>
    </w:p>
    <w:p w:rsidR="002A1FC7" w:rsidRPr="00CB2647" w:rsidRDefault="002A1FC7" w:rsidP="002A1FC7">
      <w:pPr>
        <w:spacing w:line="240" w:lineRule="auto"/>
        <w:ind w:left="426" w:hanging="426"/>
      </w:pPr>
    </w:p>
    <w:p w:rsidR="00105291" w:rsidRPr="00CB2647" w:rsidRDefault="002D0594" w:rsidP="002A1FC7">
      <w:pPr>
        <w:spacing w:line="240" w:lineRule="auto"/>
        <w:ind w:left="426" w:hanging="426"/>
      </w:pPr>
      <w:r w:rsidRPr="00CB2647">
        <w:t>11</w:t>
      </w:r>
      <w:r w:rsidR="00105291" w:rsidRPr="00CB2647">
        <w:t>.</w:t>
      </w:r>
      <w:r w:rsidR="005F6FCD" w:rsidRPr="00CB2647">
        <w:t xml:space="preserve"> Garcia JE,Jones GS,Acosta AA,Wright G.HMG/hCG follicular maturation for oocytes aspiration:phase II,1981.Fertil Steril39:174-179</w:t>
      </w:r>
      <w:r w:rsidR="00CB2647">
        <w:t xml:space="preserve">, </w:t>
      </w:r>
      <w:r w:rsidR="00CB2647" w:rsidRPr="00CB2647">
        <w:t>1983</w:t>
      </w:r>
      <w:r w:rsidR="00CB2647">
        <w:t>.</w:t>
      </w:r>
    </w:p>
    <w:p w:rsidR="002A1FC7" w:rsidRPr="00CB2647" w:rsidRDefault="002A1FC7" w:rsidP="002A1FC7">
      <w:pPr>
        <w:spacing w:line="240" w:lineRule="auto"/>
        <w:ind w:left="426" w:hanging="426"/>
      </w:pPr>
    </w:p>
    <w:p w:rsidR="005F6FCD" w:rsidRPr="00CB2647" w:rsidRDefault="002D0594" w:rsidP="002A1FC7">
      <w:pPr>
        <w:spacing w:line="240" w:lineRule="auto"/>
        <w:ind w:left="426" w:hanging="426"/>
      </w:pPr>
      <w:r w:rsidRPr="00CB2647">
        <w:t>12</w:t>
      </w:r>
      <w:r w:rsidR="005F6FCD" w:rsidRPr="00CB2647">
        <w:t>.Bryzski R,Muasher S,Droesch K,Simonetti S,Jones G</w:t>
      </w:r>
      <w:r w:rsidR="00CB2647">
        <w:t xml:space="preserve">, </w:t>
      </w:r>
      <w:r w:rsidR="005F6FCD" w:rsidRPr="00CB2647">
        <w:t>Rosenwaks Z.Follicular atresia associated with concurrent initiation of gonadotrophin releasing hormone agonist and follicle stimulating hormon for oocytes recruitment.Fertil Steril50:917-921</w:t>
      </w:r>
      <w:r w:rsidR="00CB2647">
        <w:t xml:space="preserve">, </w:t>
      </w:r>
      <w:r w:rsidR="00CB2647" w:rsidRPr="00CB2647">
        <w:t>1988</w:t>
      </w:r>
      <w:r w:rsidR="00CB2647">
        <w:t>.</w:t>
      </w:r>
    </w:p>
    <w:p w:rsidR="002A1FC7" w:rsidRPr="00CB2647" w:rsidRDefault="002A1FC7" w:rsidP="002A1FC7">
      <w:pPr>
        <w:spacing w:line="240" w:lineRule="auto"/>
        <w:ind w:left="426" w:hanging="426"/>
      </w:pPr>
    </w:p>
    <w:p w:rsidR="00CC1126" w:rsidRPr="00CB2647" w:rsidRDefault="002D0594" w:rsidP="002A1FC7">
      <w:pPr>
        <w:spacing w:line="240" w:lineRule="auto"/>
        <w:ind w:left="426" w:hanging="426"/>
      </w:pPr>
      <w:r w:rsidRPr="00CB2647">
        <w:t>13</w:t>
      </w:r>
      <w:r w:rsidR="005F6FCD" w:rsidRPr="00CB2647">
        <w:t>. Raga F,Bonilla-Musoles F,Casan EM,Bonilla F.Recombinant follicle stimulating hormone stimulation in poor responders with normal basal concentrations of follicle stimulating hormon</w:t>
      </w:r>
      <w:r w:rsidR="005D027A" w:rsidRPr="00CB2647">
        <w:t xml:space="preserve"> and oestradiol:improved reproductive outcome.Hum Reprod14:1431-1434</w:t>
      </w:r>
      <w:r w:rsidR="00CB2647">
        <w:t xml:space="preserve">, </w:t>
      </w:r>
      <w:r w:rsidR="00CB2647" w:rsidRPr="00CB2647">
        <w:t>1999</w:t>
      </w:r>
      <w:r w:rsidR="00CB2647">
        <w:t>.</w:t>
      </w:r>
    </w:p>
    <w:p w:rsidR="002A1FC7" w:rsidRPr="00CB2647" w:rsidRDefault="002A1FC7" w:rsidP="002A1FC7">
      <w:pPr>
        <w:spacing w:line="240" w:lineRule="auto"/>
        <w:ind w:left="426" w:hanging="426"/>
      </w:pPr>
    </w:p>
    <w:p w:rsidR="00422707" w:rsidRPr="00CB2647" w:rsidRDefault="002D0594" w:rsidP="002A1FC7">
      <w:pPr>
        <w:spacing w:line="240" w:lineRule="auto"/>
        <w:ind w:left="426" w:hanging="426"/>
      </w:pPr>
      <w:r w:rsidRPr="00CB2647">
        <w:lastRenderedPageBreak/>
        <w:t>14</w:t>
      </w:r>
      <w:r w:rsidR="00422707" w:rsidRPr="00CB2647">
        <w:t>. Schoolcraft W,Schlenker T,Gee M,Stevens J,Wagley L.İmproved ovarian controlled hyperstimulation in poor responder in vitro low ovarian response to stimulation for İVF fertilization patients with a microdose follicle-stimulating hormone are,growth hormone protocol.Fertil Steril67:93-97</w:t>
      </w:r>
      <w:r w:rsidR="00CB2647">
        <w:t xml:space="preserve">, </w:t>
      </w:r>
      <w:r w:rsidR="00CB2647" w:rsidRPr="00CB2647">
        <w:t>1997</w:t>
      </w:r>
      <w:r w:rsidR="00CB2647">
        <w:t>.</w:t>
      </w:r>
    </w:p>
    <w:p w:rsidR="002A1FC7" w:rsidRPr="00CB2647" w:rsidRDefault="002A1FC7" w:rsidP="002A1FC7">
      <w:pPr>
        <w:spacing w:line="240" w:lineRule="auto"/>
        <w:ind w:left="426" w:hanging="426"/>
      </w:pPr>
    </w:p>
    <w:p w:rsidR="00CB2647" w:rsidRPr="00CB2647" w:rsidRDefault="00772307" w:rsidP="00CB2647">
      <w:pPr>
        <w:spacing w:line="240" w:lineRule="auto"/>
        <w:ind w:left="426" w:hanging="426"/>
      </w:pPr>
      <w:r w:rsidRPr="00CB2647">
        <w:t>15</w:t>
      </w:r>
      <w:r w:rsidR="00422707" w:rsidRPr="00CB2647">
        <w:t>. Land J,Yarmolinskaya M,Dumoulin J,Evers J.High-dose human menapousal gonadotropin stimulation in poor responders does no</w:t>
      </w:r>
      <w:r w:rsidR="001513A2" w:rsidRPr="00CB2647">
        <w:t xml:space="preserve">timprove in vitro fertilization </w:t>
      </w:r>
      <w:r w:rsidR="00422707" w:rsidRPr="00CB2647">
        <w:t>outcome.Fertil Steril65:961-965</w:t>
      </w:r>
      <w:r w:rsidR="00CB2647">
        <w:t xml:space="preserve">, </w:t>
      </w:r>
      <w:r w:rsidR="00CB2647" w:rsidRPr="00CB2647">
        <w:t>1996</w:t>
      </w:r>
      <w:r w:rsidR="00CB2647">
        <w:t>.</w:t>
      </w:r>
    </w:p>
    <w:p w:rsidR="002A1FC7" w:rsidRPr="00CB2647" w:rsidRDefault="002A1FC7" w:rsidP="002A1FC7">
      <w:pPr>
        <w:spacing w:line="240" w:lineRule="auto"/>
        <w:ind w:left="426" w:hanging="426"/>
      </w:pPr>
    </w:p>
    <w:p w:rsidR="00422707" w:rsidRPr="00CB2647" w:rsidRDefault="00772307" w:rsidP="002A1FC7">
      <w:pPr>
        <w:spacing w:line="240" w:lineRule="auto"/>
        <w:ind w:left="426" w:hanging="426"/>
      </w:pPr>
      <w:r w:rsidRPr="00CB2647">
        <w:t>16</w:t>
      </w:r>
      <w:r w:rsidR="00581AF8" w:rsidRPr="00CB2647">
        <w:t xml:space="preserve">. Fridstrom M,Akerlof E,Sjoblom P,Hillensjo T.Serum levels of luteinizing and follicle –stim ulating hormones in normal and poor responding patients undergoing ovarian stimulation with urofollitropin </w:t>
      </w:r>
      <w:r w:rsidR="001C6AE0" w:rsidRPr="00CB2647">
        <w:t>after pituitary down regulation.Gynecol Endocrinol11:25-28</w:t>
      </w:r>
      <w:r w:rsidR="00CB2647">
        <w:t xml:space="preserve">, </w:t>
      </w:r>
      <w:r w:rsidR="00CB2647" w:rsidRPr="00CB2647">
        <w:t>1997</w:t>
      </w:r>
      <w:r w:rsidR="00CB2647">
        <w:t>.</w:t>
      </w:r>
    </w:p>
    <w:p w:rsidR="002A1FC7" w:rsidRPr="00CB2647" w:rsidRDefault="002A1FC7" w:rsidP="002A1FC7">
      <w:pPr>
        <w:spacing w:line="240" w:lineRule="auto"/>
        <w:ind w:left="426" w:hanging="426"/>
      </w:pPr>
    </w:p>
    <w:p w:rsidR="001C6AE0" w:rsidRPr="00CB2647" w:rsidRDefault="00772307" w:rsidP="002A1FC7">
      <w:pPr>
        <w:spacing w:line="240" w:lineRule="auto"/>
        <w:ind w:left="426" w:hanging="426"/>
      </w:pPr>
      <w:r w:rsidRPr="00CB2647">
        <w:t>17</w:t>
      </w:r>
      <w:r w:rsidR="001C6AE0" w:rsidRPr="00CB2647">
        <w:t>. Chong A,Rafael R,Forte C.İnfluence of weight in the induction of ovalution with human menapousal gonadotrophin and human chorionic gonadotropin.Fertil steril46:599-603</w:t>
      </w:r>
      <w:r w:rsidR="00CB2647">
        <w:t xml:space="preserve">, </w:t>
      </w:r>
      <w:r w:rsidR="00CB2647" w:rsidRPr="00CB2647">
        <w:t>1986</w:t>
      </w:r>
      <w:r w:rsidR="00CB2647">
        <w:t>.</w:t>
      </w:r>
    </w:p>
    <w:p w:rsidR="002A1FC7" w:rsidRPr="00CB2647" w:rsidRDefault="002A1FC7" w:rsidP="002A1FC7">
      <w:pPr>
        <w:spacing w:line="240" w:lineRule="auto"/>
        <w:ind w:left="426" w:hanging="426"/>
      </w:pPr>
    </w:p>
    <w:p w:rsidR="001C6AE0" w:rsidRPr="00CB2647" w:rsidRDefault="00772307" w:rsidP="002A1FC7">
      <w:pPr>
        <w:spacing w:line="240" w:lineRule="auto"/>
        <w:ind w:left="426" w:hanging="426"/>
      </w:pPr>
      <w:r w:rsidRPr="00CB2647">
        <w:t>18</w:t>
      </w:r>
      <w:r w:rsidR="001C6AE0" w:rsidRPr="00CB2647">
        <w:t>. Rombauts L,Suikkari A,MacLachlan V,Trounson A,Healy D.Recruitment of follicles by recombinant human follicle-stimulating hormone commencing in the lutal phase of the ovarian cycle.Fertil Steril69:665-669</w:t>
      </w:r>
      <w:r w:rsidR="00CB2647">
        <w:t xml:space="preserve">, </w:t>
      </w:r>
      <w:r w:rsidR="00CB2647" w:rsidRPr="00CB2647">
        <w:t>1998</w:t>
      </w:r>
      <w:r w:rsidR="00CB2647">
        <w:t>.</w:t>
      </w:r>
    </w:p>
    <w:p w:rsidR="002A1FC7" w:rsidRPr="00CB2647" w:rsidRDefault="002A1FC7" w:rsidP="002A1FC7">
      <w:pPr>
        <w:spacing w:line="240" w:lineRule="auto"/>
        <w:ind w:left="426" w:hanging="426"/>
      </w:pPr>
    </w:p>
    <w:p w:rsidR="001C6AE0" w:rsidRPr="00CB2647" w:rsidRDefault="00772307" w:rsidP="002A1FC7">
      <w:pPr>
        <w:spacing w:line="240" w:lineRule="auto"/>
        <w:ind w:left="426" w:hanging="426"/>
      </w:pPr>
      <w:r w:rsidRPr="00CB2647">
        <w:t>19</w:t>
      </w:r>
      <w:r w:rsidR="001C6AE0" w:rsidRPr="00CB2647">
        <w:t>.Surrey ES,Bower JA,Hill DM,Ramsey J.Surrey W.Clinical and endocrine effects of a microdose GnRH agonist are regimen administered to poor responders who are undergoing in vitro fertilization.Fertil Steril69:419-424</w:t>
      </w:r>
      <w:r w:rsidR="00CB2647">
        <w:t xml:space="preserve">, </w:t>
      </w:r>
      <w:r w:rsidR="00CB2647" w:rsidRPr="00CB2647">
        <w:t>1998</w:t>
      </w:r>
      <w:r w:rsidR="00CB2647">
        <w:t>.</w:t>
      </w:r>
    </w:p>
    <w:p w:rsidR="002A1FC7" w:rsidRPr="00CB2647" w:rsidRDefault="002A1FC7" w:rsidP="002A1FC7">
      <w:pPr>
        <w:spacing w:line="240" w:lineRule="auto"/>
        <w:ind w:left="426" w:hanging="426"/>
      </w:pPr>
    </w:p>
    <w:p w:rsidR="001C6AE0" w:rsidRPr="00CB2647" w:rsidRDefault="00772307" w:rsidP="002A1FC7">
      <w:pPr>
        <w:spacing w:line="240" w:lineRule="auto"/>
        <w:ind w:left="426" w:hanging="426"/>
      </w:pPr>
      <w:r w:rsidRPr="00CB2647">
        <w:t>20</w:t>
      </w:r>
      <w:r w:rsidR="001C6AE0" w:rsidRPr="00CB2647">
        <w:t>.</w:t>
      </w:r>
      <w:r w:rsidR="00652C65" w:rsidRPr="00CB2647">
        <w:t>Manzi D,Thorton K,Scott L,Nulsen J.The value of increasing the dose of HMG in women who initially demonstrate a poor response.Fertil Steril62:251-256</w:t>
      </w:r>
      <w:r w:rsidR="00CB2647">
        <w:t xml:space="preserve">, </w:t>
      </w:r>
      <w:r w:rsidR="00CB2647" w:rsidRPr="00CB2647">
        <w:t>1994</w:t>
      </w:r>
      <w:r w:rsidR="00CB2647">
        <w:t>.</w:t>
      </w:r>
    </w:p>
    <w:p w:rsidR="002A1FC7" w:rsidRPr="00CB2647" w:rsidRDefault="002A1FC7" w:rsidP="002A1FC7">
      <w:pPr>
        <w:spacing w:line="240" w:lineRule="auto"/>
        <w:ind w:left="426" w:hanging="426"/>
      </w:pPr>
    </w:p>
    <w:p w:rsidR="00652C65" w:rsidRPr="00CB2647" w:rsidRDefault="00772307" w:rsidP="002A1FC7">
      <w:pPr>
        <w:spacing w:line="240" w:lineRule="auto"/>
        <w:ind w:left="426" w:hanging="426"/>
      </w:pPr>
      <w:r w:rsidRPr="00CB2647">
        <w:t>21</w:t>
      </w:r>
      <w:r w:rsidR="00652C65" w:rsidRPr="00CB2647">
        <w:t>. Shaker A,Yates R,Flemming R,Coutts J,Jamieson M.Absense of effect of adjuvant growth hormone therapy on follicular responses to exogenous gonadotrophins in women:normal and poor responders.Fertil Steril58:919-923</w:t>
      </w:r>
      <w:r w:rsidR="00CB2647">
        <w:t xml:space="preserve">, </w:t>
      </w:r>
      <w:r w:rsidR="00CB2647" w:rsidRPr="00CB2647">
        <w:t>1992</w:t>
      </w:r>
      <w:r w:rsidR="00CB2647">
        <w:t>.</w:t>
      </w:r>
    </w:p>
    <w:p w:rsidR="002A1FC7" w:rsidRPr="00CB2647" w:rsidRDefault="002A1FC7" w:rsidP="002A1FC7">
      <w:pPr>
        <w:spacing w:line="240" w:lineRule="auto"/>
        <w:ind w:left="426" w:hanging="426"/>
      </w:pPr>
    </w:p>
    <w:p w:rsidR="00652C65" w:rsidRPr="00CB2647" w:rsidRDefault="00772307" w:rsidP="002A1FC7">
      <w:pPr>
        <w:spacing w:line="240" w:lineRule="auto"/>
        <w:ind w:left="426" w:hanging="426"/>
      </w:pPr>
      <w:r w:rsidRPr="00CB2647">
        <w:t>22</w:t>
      </w:r>
      <w:r w:rsidR="00652C65" w:rsidRPr="00CB2647">
        <w:t>.Toth T,Awwad J,Veeck L,Jones H,Mausher S.Suppresion and are regimens of gonadotropin-releasing hormone agonist:use in women with differnt basal gonadotropin values in an in vitro fertilization program.J.Reprod Med41:321-326</w:t>
      </w:r>
      <w:r w:rsidR="0056680E">
        <w:t xml:space="preserve">, </w:t>
      </w:r>
      <w:r w:rsidR="0056680E" w:rsidRPr="00CB2647">
        <w:t>1996</w:t>
      </w:r>
      <w:r w:rsidR="0056680E">
        <w:t>.</w:t>
      </w:r>
    </w:p>
    <w:p w:rsidR="002A1FC7" w:rsidRPr="00CB2647" w:rsidRDefault="002A1FC7" w:rsidP="002A1FC7">
      <w:pPr>
        <w:spacing w:line="240" w:lineRule="auto"/>
        <w:ind w:left="426" w:hanging="426"/>
      </w:pPr>
    </w:p>
    <w:p w:rsidR="00652C65" w:rsidRPr="00CB2647" w:rsidRDefault="00772307" w:rsidP="002A1FC7">
      <w:pPr>
        <w:spacing w:line="240" w:lineRule="auto"/>
        <w:ind w:left="426" w:hanging="426"/>
      </w:pPr>
      <w:r w:rsidRPr="00CB2647">
        <w:t>23</w:t>
      </w:r>
      <w:r w:rsidR="00652C65" w:rsidRPr="00CB2647">
        <w:t>.De Vos M,Devrooey P,Fauser BC.Primary ovarian insuffiency.Lancet11:911-921</w:t>
      </w:r>
      <w:r w:rsidR="0056680E">
        <w:t xml:space="preserve">, </w:t>
      </w:r>
      <w:r w:rsidR="0056680E" w:rsidRPr="00CB2647">
        <w:t>2010</w:t>
      </w:r>
      <w:r w:rsidR="0056680E">
        <w:t>.</w:t>
      </w:r>
    </w:p>
    <w:p w:rsidR="002A1FC7" w:rsidRPr="00CB2647" w:rsidRDefault="002A1FC7" w:rsidP="002A1FC7">
      <w:pPr>
        <w:spacing w:line="240" w:lineRule="auto"/>
        <w:ind w:left="426" w:hanging="426"/>
      </w:pPr>
    </w:p>
    <w:p w:rsidR="00652C65" w:rsidRPr="00CB2647" w:rsidRDefault="00772307" w:rsidP="002A1FC7">
      <w:pPr>
        <w:spacing w:line="240" w:lineRule="auto"/>
        <w:ind w:left="426" w:hanging="426"/>
      </w:pPr>
      <w:r w:rsidRPr="00CB2647">
        <w:t>24</w:t>
      </w:r>
      <w:r w:rsidR="00652C65" w:rsidRPr="00CB2647">
        <w:t>. Nargund G,Cheng WC,Parsons J.The impact of ovarian cystectomy on ovarian responce to stimulation during in-vitro fertilization cycles.Hum Reprod</w:t>
      </w:r>
      <w:r w:rsidR="00CA3FC6" w:rsidRPr="00CB2647">
        <w:t>11:81-83</w:t>
      </w:r>
      <w:r w:rsidR="0056680E">
        <w:t xml:space="preserve">, </w:t>
      </w:r>
      <w:r w:rsidR="0056680E" w:rsidRPr="00CB2647">
        <w:t>1996</w:t>
      </w:r>
      <w:r w:rsidR="0056680E">
        <w:t>.</w:t>
      </w:r>
    </w:p>
    <w:p w:rsidR="002A1FC7" w:rsidRPr="00CB2647" w:rsidRDefault="002A1FC7" w:rsidP="002A1FC7">
      <w:pPr>
        <w:spacing w:line="240" w:lineRule="auto"/>
        <w:ind w:left="426" w:hanging="426"/>
      </w:pPr>
    </w:p>
    <w:p w:rsidR="00CA3FC6" w:rsidRPr="00CB2647" w:rsidRDefault="00772307" w:rsidP="002A1FC7">
      <w:pPr>
        <w:spacing w:line="240" w:lineRule="auto"/>
        <w:ind w:left="426" w:hanging="426"/>
      </w:pPr>
      <w:r w:rsidRPr="00CB2647">
        <w:t>25</w:t>
      </w:r>
      <w:r w:rsidR="00CA3FC6" w:rsidRPr="00CB2647">
        <w:t>. Oktem O,Oktay K.</w:t>
      </w:r>
      <w:r w:rsidR="00243742" w:rsidRPr="00CB2647">
        <w:t xml:space="preserve"> Quantitative </w:t>
      </w:r>
      <w:r w:rsidR="00CA3FC6" w:rsidRPr="00CB2647">
        <w:t>assesment of the impact of chemoterapy on ovarian follicle reserve and stromal function.Cancer15:2222-2229</w:t>
      </w:r>
      <w:r w:rsidR="0056680E">
        <w:t xml:space="preserve">, </w:t>
      </w:r>
      <w:r w:rsidR="0056680E" w:rsidRPr="00CB2647">
        <w:t>2007</w:t>
      </w:r>
      <w:r w:rsidR="0056680E">
        <w:t>.</w:t>
      </w:r>
    </w:p>
    <w:p w:rsidR="002A1FC7" w:rsidRPr="00CB2647" w:rsidRDefault="002A1FC7" w:rsidP="002A1FC7">
      <w:pPr>
        <w:spacing w:line="240" w:lineRule="auto"/>
        <w:ind w:left="426" w:hanging="426"/>
      </w:pPr>
    </w:p>
    <w:p w:rsidR="00CA3FC6" w:rsidRPr="00CB2647" w:rsidRDefault="00772307" w:rsidP="002A1FC7">
      <w:pPr>
        <w:spacing w:line="240" w:lineRule="auto"/>
        <w:ind w:left="426" w:hanging="426"/>
      </w:pPr>
      <w:r w:rsidRPr="00CB2647">
        <w:lastRenderedPageBreak/>
        <w:t>26</w:t>
      </w:r>
      <w:r w:rsidR="00CA3FC6" w:rsidRPr="00CB2647">
        <w:t xml:space="preserve">. Ferraretti AP,La Marca A,Faucer BC,Tarlatzis B,Nargund G,Gianaroli L.ESHRE </w:t>
      </w:r>
      <w:r w:rsidR="001513A2" w:rsidRPr="00CB2647">
        <w:t xml:space="preserve">consensus on the definition of </w:t>
      </w:r>
      <w:r w:rsidR="0056680E">
        <w:t>“</w:t>
      </w:r>
      <w:r w:rsidR="00CA3FC6" w:rsidRPr="00CB2647">
        <w:t>poor response</w:t>
      </w:r>
      <w:r w:rsidR="0056680E">
        <w:t>”</w:t>
      </w:r>
      <w:r w:rsidR="00CA3FC6" w:rsidRPr="00CB2647">
        <w:t xml:space="preserve"> to ovarian stimulation for in vitro fertilization:the Bologna criteria.Hum Reprod26:1616-1624</w:t>
      </w:r>
      <w:r w:rsidR="0056680E">
        <w:t xml:space="preserve">, </w:t>
      </w:r>
      <w:r w:rsidR="0056680E" w:rsidRPr="00CB2647">
        <w:t>2011</w:t>
      </w:r>
      <w:r w:rsidR="0056680E">
        <w:t>.</w:t>
      </w:r>
    </w:p>
    <w:p w:rsidR="002A1FC7" w:rsidRPr="00CB2647" w:rsidRDefault="002A1FC7" w:rsidP="002A1FC7">
      <w:pPr>
        <w:spacing w:line="240" w:lineRule="auto"/>
        <w:ind w:left="426" w:hanging="426"/>
      </w:pPr>
    </w:p>
    <w:p w:rsidR="00CA3FC6" w:rsidRPr="00CB2647" w:rsidRDefault="00772307" w:rsidP="002A1FC7">
      <w:pPr>
        <w:spacing w:line="240" w:lineRule="auto"/>
        <w:ind w:left="426" w:hanging="426"/>
      </w:pPr>
      <w:r w:rsidRPr="00CB2647">
        <w:t>27</w:t>
      </w:r>
      <w:r w:rsidR="00CA3FC6" w:rsidRPr="00CB2647">
        <w:t>.Gougeon A.Ovarian follicular growth in human:ovarian ageing and population of growing follicles.Maturitas 30:137-142</w:t>
      </w:r>
      <w:r w:rsidR="0056680E">
        <w:t xml:space="preserve">, </w:t>
      </w:r>
      <w:r w:rsidR="0056680E" w:rsidRPr="00CB2647">
        <w:t>1998</w:t>
      </w:r>
      <w:r w:rsidR="0056680E">
        <w:t>.</w:t>
      </w:r>
    </w:p>
    <w:p w:rsidR="002A1FC7" w:rsidRPr="00CB2647" w:rsidRDefault="002A1FC7" w:rsidP="002A1FC7">
      <w:pPr>
        <w:spacing w:line="240" w:lineRule="auto"/>
        <w:ind w:left="426" w:hanging="426"/>
      </w:pPr>
    </w:p>
    <w:p w:rsidR="00CA3FC6" w:rsidRPr="00CB2647" w:rsidRDefault="00772307" w:rsidP="002A1FC7">
      <w:pPr>
        <w:spacing w:line="240" w:lineRule="auto"/>
        <w:ind w:left="426" w:hanging="426"/>
      </w:pPr>
      <w:r w:rsidRPr="00CB2647">
        <w:t>28</w:t>
      </w:r>
      <w:r w:rsidR="00CA3FC6" w:rsidRPr="00CB2647">
        <w:t>. McGee EA,</w:t>
      </w:r>
      <w:r w:rsidR="00D03EFC">
        <w:t xml:space="preserve"> </w:t>
      </w:r>
      <w:r w:rsidR="00CA3FC6" w:rsidRPr="00CB2647">
        <w:t>Hsueh AJ.</w:t>
      </w:r>
      <w:r w:rsidR="00C32620">
        <w:t xml:space="preserve"> </w:t>
      </w:r>
      <w:r w:rsidR="00CA3FC6" w:rsidRPr="00CB2647">
        <w:t>İnitial and cyclic recruitment of ovarian follicles.Endocr Rev21:200-214</w:t>
      </w:r>
      <w:r w:rsidR="0056680E">
        <w:t xml:space="preserve">, </w:t>
      </w:r>
      <w:r w:rsidR="0056680E" w:rsidRPr="00CB2647">
        <w:t>2000</w:t>
      </w:r>
      <w:r w:rsidR="0056680E">
        <w:t>.</w:t>
      </w:r>
    </w:p>
    <w:p w:rsidR="002A1FC7" w:rsidRPr="00CB2647" w:rsidRDefault="002A1FC7" w:rsidP="002A1FC7">
      <w:pPr>
        <w:spacing w:line="240" w:lineRule="auto"/>
        <w:ind w:left="426" w:hanging="426"/>
      </w:pPr>
    </w:p>
    <w:p w:rsidR="000652D1" w:rsidRPr="00CB2647" w:rsidRDefault="00772307" w:rsidP="002A1FC7">
      <w:pPr>
        <w:spacing w:line="240" w:lineRule="auto"/>
        <w:ind w:left="426" w:hanging="426"/>
      </w:pPr>
      <w:r w:rsidRPr="00CB2647">
        <w:t>29</w:t>
      </w:r>
      <w:r w:rsidR="00CA3FC6" w:rsidRPr="00CB2647">
        <w:t>.</w:t>
      </w:r>
      <w:r w:rsidR="00512B10" w:rsidRPr="00CB2647">
        <w:t xml:space="preserve"> Gezginç K, Korucu Gök D.Beklenenden az oosit toplanması</w:t>
      </w:r>
      <w:r w:rsidR="000652D1" w:rsidRPr="00CB2647">
        <w:t xml:space="preserve"> (YÜT Teknikleri basım aşamasında).</w:t>
      </w:r>
    </w:p>
    <w:p w:rsidR="002A1FC7" w:rsidRPr="00CB2647" w:rsidRDefault="002A1FC7" w:rsidP="002A1FC7">
      <w:pPr>
        <w:spacing w:line="240" w:lineRule="auto"/>
        <w:ind w:left="426" w:hanging="426"/>
      </w:pPr>
    </w:p>
    <w:p w:rsidR="00843BAB" w:rsidRPr="00CB2647" w:rsidRDefault="00772307" w:rsidP="002A1FC7">
      <w:pPr>
        <w:spacing w:line="240" w:lineRule="auto"/>
        <w:ind w:left="426" w:hanging="426"/>
      </w:pPr>
      <w:r w:rsidRPr="00CB2647">
        <w:t>30</w:t>
      </w:r>
      <w:r w:rsidR="00512B10" w:rsidRPr="00CB2647">
        <w:t>.</w:t>
      </w:r>
      <w:r w:rsidR="00843BAB" w:rsidRPr="00CB2647">
        <w:t>Broekmans FJ,</w:t>
      </w:r>
      <w:r w:rsidR="00D03EFC">
        <w:t xml:space="preserve"> </w:t>
      </w:r>
      <w:r w:rsidR="00843BAB" w:rsidRPr="00CB2647">
        <w:t>Kwee J,Hendriks DJ,Mol BW,Lambalk CB.Asystematic review of tests predicting ovarian reserve and İVF outcome.Hum Reprod Update12:685-718</w:t>
      </w:r>
      <w:r w:rsidR="0056680E">
        <w:t xml:space="preserve">, </w:t>
      </w:r>
      <w:r w:rsidR="0056680E" w:rsidRPr="00CB2647">
        <w:t>2006</w:t>
      </w:r>
      <w:r w:rsidR="0056680E">
        <w:t>.</w:t>
      </w:r>
    </w:p>
    <w:p w:rsidR="002A1FC7" w:rsidRPr="00CB2647" w:rsidRDefault="002A1FC7" w:rsidP="002A1FC7">
      <w:pPr>
        <w:spacing w:line="240" w:lineRule="auto"/>
        <w:ind w:left="426" w:hanging="426"/>
      </w:pPr>
    </w:p>
    <w:p w:rsidR="00843BAB" w:rsidRPr="00CB2647" w:rsidRDefault="00772307" w:rsidP="002A1FC7">
      <w:pPr>
        <w:spacing w:line="240" w:lineRule="auto"/>
        <w:ind w:left="426" w:hanging="426"/>
      </w:pPr>
      <w:r w:rsidRPr="00CB2647">
        <w:t>31</w:t>
      </w:r>
      <w:r w:rsidR="00843BAB" w:rsidRPr="00CB2647">
        <w:t>.La Marca A,Sighinolfi G,Radi D,Argento C,Baraldi E,Artenisio AC,Stabile G,Volpe A.</w:t>
      </w:r>
      <w:r w:rsidR="007D6D2E" w:rsidRPr="00CB2647">
        <w:t>̒̒</w:t>
      </w:r>
      <w:r w:rsidR="00843BAB" w:rsidRPr="00CB2647">
        <w:t>Anti-Mullerian hormone (AMH)as a predictive marker in assisted reproductive technology(ART).Hum Reprod Update16:113-130</w:t>
      </w:r>
      <w:r w:rsidR="0056680E">
        <w:t xml:space="preserve">, </w:t>
      </w:r>
      <w:r w:rsidR="0056680E" w:rsidRPr="00CB2647">
        <w:t>2010</w:t>
      </w:r>
      <w:r w:rsidR="0056680E">
        <w:t>.</w:t>
      </w:r>
    </w:p>
    <w:p w:rsidR="002A1FC7" w:rsidRPr="00CB2647" w:rsidRDefault="002A1FC7" w:rsidP="002A1FC7">
      <w:pPr>
        <w:spacing w:line="240" w:lineRule="auto"/>
        <w:ind w:left="426" w:hanging="426"/>
      </w:pPr>
    </w:p>
    <w:p w:rsidR="00843BAB" w:rsidRPr="00CB2647" w:rsidRDefault="00772307" w:rsidP="002A1FC7">
      <w:pPr>
        <w:spacing w:line="240" w:lineRule="auto"/>
        <w:ind w:left="426" w:hanging="426"/>
      </w:pPr>
      <w:r w:rsidRPr="00CB2647">
        <w:t>32</w:t>
      </w:r>
      <w:r w:rsidR="00843BAB" w:rsidRPr="00CB2647">
        <w:t>.</w:t>
      </w:r>
      <w:r w:rsidR="00340F4D" w:rsidRPr="00CB2647">
        <w:t>Navo D,Rosenwaks Z,Margalioth EJ.</w:t>
      </w:r>
      <w:r w:rsidR="00C32620">
        <w:t xml:space="preserve"> </w:t>
      </w:r>
      <w:r w:rsidR="00340F4D" w:rsidRPr="00CB2647">
        <w:t>Prognostic assesment of female fecundity.Lancet2:645-647</w:t>
      </w:r>
      <w:r w:rsidR="0056680E">
        <w:t xml:space="preserve">, </w:t>
      </w:r>
      <w:r w:rsidR="0056680E" w:rsidRPr="00CB2647">
        <w:t>1987</w:t>
      </w:r>
      <w:r w:rsidR="0056680E">
        <w:t>.</w:t>
      </w:r>
    </w:p>
    <w:p w:rsidR="002A1FC7" w:rsidRPr="00CB2647" w:rsidRDefault="002A1FC7" w:rsidP="002A1FC7">
      <w:pPr>
        <w:spacing w:line="240" w:lineRule="auto"/>
        <w:ind w:left="426" w:hanging="426"/>
      </w:pPr>
    </w:p>
    <w:p w:rsidR="00340F4D" w:rsidRPr="00CB2647" w:rsidRDefault="00BC3C06" w:rsidP="002A1FC7">
      <w:pPr>
        <w:spacing w:line="240" w:lineRule="auto"/>
        <w:ind w:left="426" w:hanging="426"/>
      </w:pPr>
      <w:r w:rsidRPr="00CB2647">
        <w:t>33</w:t>
      </w:r>
      <w:r w:rsidR="00340F4D" w:rsidRPr="00CB2647">
        <w:t>.Winslow KL,</w:t>
      </w:r>
      <w:r w:rsidR="00C32620">
        <w:t xml:space="preserve"> </w:t>
      </w:r>
      <w:r w:rsidR="00340F4D" w:rsidRPr="00CB2647">
        <w:t>Toner JP,</w:t>
      </w:r>
      <w:r w:rsidR="00C32620">
        <w:t xml:space="preserve"> </w:t>
      </w:r>
      <w:r w:rsidR="00340F4D" w:rsidRPr="00CB2647">
        <w:t>Bryzski RG,</w:t>
      </w:r>
      <w:r w:rsidR="00C32620">
        <w:t xml:space="preserve"> </w:t>
      </w:r>
      <w:r w:rsidR="00340F4D" w:rsidRPr="00CB2647">
        <w:t>Oehninger SC,Acosta AA,Muasher SJ.The gonadotropin –releasing hormone agonist stimulation test-a sensitive predictor of performance in the flare up in-vitro fertilization cycle.Fertil Steril56:711-17</w:t>
      </w:r>
      <w:r w:rsidR="00D561A8">
        <w:t xml:space="preserve">, </w:t>
      </w:r>
      <w:r w:rsidR="00D561A8" w:rsidRPr="00CB2647">
        <w:t>1991</w:t>
      </w:r>
      <w:r w:rsidR="00D561A8">
        <w:t>.</w:t>
      </w:r>
    </w:p>
    <w:p w:rsidR="002A1FC7" w:rsidRPr="00CB2647" w:rsidRDefault="002A1FC7" w:rsidP="002A1FC7">
      <w:pPr>
        <w:spacing w:line="240" w:lineRule="auto"/>
        <w:ind w:left="426" w:hanging="426"/>
      </w:pPr>
    </w:p>
    <w:p w:rsidR="00340F4D" w:rsidRPr="00CB2647" w:rsidRDefault="00BC3C06" w:rsidP="002A1FC7">
      <w:pPr>
        <w:spacing w:line="240" w:lineRule="auto"/>
        <w:ind w:left="426" w:hanging="426"/>
      </w:pPr>
      <w:r w:rsidRPr="00CB2647">
        <w:t>34</w:t>
      </w:r>
      <w:r w:rsidR="00340F4D" w:rsidRPr="00CB2647">
        <w:t>.Fanchi R,de Zeigler D,Olivennes F,Taieb J,Dzik A,Frydman R.Exogenous follicle stimulating hormone ovarian reserve test(EFORT):Asimple and reliabl</w:t>
      </w:r>
      <w:r w:rsidR="001513A2" w:rsidRPr="00CB2647">
        <w:t xml:space="preserve">e screening test for detecting </w:t>
      </w:r>
      <w:r w:rsidR="0034477B">
        <w:t>“</w:t>
      </w:r>
      <w:r w:rsidR="001513A2" w:rsidRPr="00CB2647">
        <w:t>p</w:t>
      </w:r>
      <w:r w:rsidR="00340F4D" w:rsidRPr="00CB2647">
        <w:t>oor responders</w:t>
      </w:r>
      <w:r w:rsidR="0034477B">
        <w:t xml:space="preserve">” </w:t>
      </w:r>
      <w:r w:rsidR="00340F4D" w:rsidRPr="00CB2647">
        <w:t>in-vitro fertilization.</w:t>
      </w:r>
      <w:r w:rsidR="00C32620">
        <w:t xml:space="preserve"> </w:t>
      </w:r>
      <w:r w:rsidR="00340F4D" w:rsidRPr="00CB2647">
        <w:t>Hum Reprod9:1607-11</w:t>
      </w:r>
      <w:r w:rsidR="0034477B">
        <w:t xml:space="preserve">, </w:t>
      </w:r>
      <w:r w:rsidR="0034477B" w:rsidRPr="00CB2647">
        <w:t>1994</w:t>
      </w:r>
      <w:r w:rsidR="0034477B">
        <w:t>.</w:t>
      </w:r>
    </w:p>
    <w:p w:rsidR="002A1FC7" w:rsidRPr="00CB2647" w:rsidRDefault="002A1FC7" w:rsidP="002A1FC7">
      <w:pPr>
        <w:spacing w:line="240" w:lineRule="auto"/>
        <w:ind w:left="426" w:hanging="426"/>
      </w:pPr>
    </w:p>
    <w:p w:rsidR="00BC3C06" w:rsidRPr="00CB2647" w:rsidRDefault="00BC3C06" w:rsidP="002A1FC7">
      <w:pPr>
        <w:spacing w:line="240" w:lineRule="auto"/>
        <w:ind w:left="426" w:hanging="426"/>
      </w:pPr>
      <w:r w:rsidRPr="00CB2647">
        <w:t xml:space="preserve">35. Berkkanoglu </w:t>
      </w:r>
      <w:r w:rsidR="0034477B">
        <w:t xml:space="preserve">M, </w:t>
      </w:r>
      <w:r w:rsidRPr="00CB2647">
        <w:t>Ozgur</w:t>
      </w:r>
      <w:r w:rsidR="0034477B">
        <w:t>K.“</w:t>
      </w:r>
      <w:r w:rsidR="007D6D2E" w:rsidRPr="00CB2647">
        <w:t>What is the optimum maximal gonadotropin dosage used in microdose flare-up cycles in poor responders?</w:t>
      </w:r>
      <w:r w:rsidR="0034477B">
        <w:t xml:space="preserve">” </w:t>
      </w:r>
      <w:r w:rsidR="007D6D2E" w:rsidRPr="00CB2647">
        <w:t>Fertility and Sterility, vol.94, 2</w:t>
      </w:r>
      <w:r w:rsidR="0034477B">
        <w:t xml:space="preserve">: </w:t>
      </w:r>
      <w:r w:rsidR="007D6D2E" w:rsidRPr="00CB2647">
        <w:t>662-665,2010.</w:t>
      </w:r>
    </w:p>
    <w:p w:rsidR="002A1FC7" w:rsidRPr="00CB2647" w:rsidRDefault="002A1FC7" w:rsidP="002A1FC7">
      <w:pPr>
        <w:spacing w:line="240" w:lineRule="auto"/>
        <w:ind w:left="426" w:hanging="426"/>
      </w:pPr>
    </w:p>
    <w:p w:rsidR="00340F4D" w:rsidRPr="00CB2647" w:rsidRDefault="007D6D2E" w:rsidP="002A1FC7">
      <w:pPr>
        <w:spacing w:line="240" w:lineRule="auto"/>
        <w:ind w:left="426" w:hanging="426"/>
      </w:pPr>
      <w:r w:rsidRPr="00CB2647">
        <w:t>36</w:t>
      </w:r>
      <w:r w:rsidR="00340F4D" w:rsidRPr="00CB2647">
        <w:t>.</w:t>
      </w:r>
      <w:r w:rsidR="004F2E2B" w:rsidRPr="00CB2647">
        <w:t xml:space="preserve"> Hofmann GE,</w:t>
      </w:r>
      <w:r w:rsidR="00C32620">
        <w:t xml:space="preserve"> </w:t>
      </w:r>
      <w:r w:rsidR="004F2E2B" w:rsidRPr="00CB2647">
        <w:t>Toner JP,</w:t>
      </w:r>
      <w:r w:rsidR="00C32620">
        <w:t xml:space="preserve"> </w:t>
      </w:r>
      <w:r w:rsidR="004F2E2B" w:rsidRPr="00CB2647">
        <w:t>Muasher SJ,</w:t>
      </w:r>
      <w:r w:rsidR="00C32620">
        <w:t xml:space="preserve"> </w:t>
      </w:r>
      <w:r w:rsidR="004F2E2B" w:rsidRPr="00CB2647">
        <w:t>Jones GS.</w:t>
      </w:r>
      <w:r w:rsidR="00C32620">
        <w:t xml:space="preserve"> </w:t>
      </w:r>
      <w:r w:rsidR="004F2E2B" w:rsidRPr="00CB2647">
        <w:t>High-dose follicle-stimulating hormone(FSH)ovarian stimulation in low-responder patients for in vitro fertilization.J İn Vitro Pert Embryo Transf6:285-289</w:t>
      </w:r>
      <w:r w:rsidR="0034477B">
        <w:t xml:space="preserve">, </w:t>
      </w:r>
      <w:r w:rsidR="0034477B" w:rsidRPr="00CB2647">
        <w:t>1989</w:t>
      </w:r>
      <w:r w:rsidR="0034477B">
        <w:t>.</w:t>
      </w:r>
    </w:p>
    <w:p w:rsidR="002A1FC7" w:rsidRPr="00CB2647" w:rsidRDefault="002A1FC7" w:rsidP="002A1FC7">
      <w:pPr>
        <w:spacing w:line="240" w:lineRule="auto"/>
        <w:ind w:left="426" w:hanging="426"/>
      </w:pPr>
    </w:p>
    <w:p w:rsidR="004F2E2B" w:rsidRPr="00CB2647" w:rsidRDefault="007D6D2E" w:rsidP="002A1FC7">
      <w:pPr>
        <w:spacing w:line="240" w:lineRule="auto"/>
        <w:ind w:left="426" w:hanging="426"/>
      </w:pPr>
      <w:r w:rsidRPr="00CB2647">
        <w:t>37</w:t>
      </w:r>
      <w:r w:rsidR="004F2E2B" w:rsidRPr="00CB2647">
        <w:t>.</w:t>
      </w:r>
      <w:r w:rsidR="001513A2" w:rsidRPr="00CB2647">
        <w:t xml:space="preserve">Karande </w:t>
      </w:r>
      <w:r w:rsidR="004F2E2B" w:rsidRPr="00CB2647">
        <w:t>VC,</w:t>
      </w:r>
      <w:r w:rsidR="00C32620">
        <w:t xml:space="preserve"> </w:t>
      </w:r>
      <w:r w:rsidR="004F2E2B" w:rsidRPr="00CB2647">
        <w:t>Jones GS,</w:t>
      </w:r>
      <w:r w:rsidR="00C32620">
        <w:t xml:space="preserve"> </w:t>
      </w:r>
      <w:r w:rsidR="004F2E2B" w:rsidRPr="00CB2647">
        <w:t>Veeck LL,</w:t>
      </w:r>
      <w:r w:rsidR="00C32620">
        <w:t xml:space="preserve"> </w:t>
      </w:r>
      <w:r w:rsidR="004F2E2B" w:rsidRPr="00CB2647">
        <w:t>Muasher SJ.High-dose follicle stimulating hormone stimulation at the onset of the menstrual cycle does not improve the in vitro fertilization outcome in low responder patients.Fertil Steril53:486-489</w:t>
      </w:r>
      <w:r w:rsidR="0034477B">
        <w:t xml:space="preserve">, </w:t>
      </w:r>
      <w:r w:rsidR="0034477B" w:rsidRPr="00CB2647">
        <w:t>1990</w:t>
      </w:r>
      <w:r w:rsidR="0034477B">
        <w:t>.</w:t>
      </w:r>
    </w:p>
    <w:p w:rsidR="002A1FC7" w:rsidRPr="00CB2647" w:rsidRDefault="002A1FC7" w:rsidP="002A1FC7">
      <w:pPr>
        <w:spacing w:line="240" w:lineRule="auto"/>
        <w:ind w:left="426" w:hanging="426"/>
      </w:pPr>
    </w:p>
    <w:p w:rsidR="004F2E2B" w:rsidRPr="00CB2647" w:rsidRDefault="007D6D2E" w:rsidP="002A1FC7">
      <w:pPr>
        <w:spacing w:line="240" w:lineRule="auto"/>
        <w:ind w:left="426" w:hanging="426"/>
      </w:pPr>
      <w:r w:rsidRPr="00CB2647">
        <w:t>38</w:t>
      </w:r>
      <w:r w:rsidR="004F2E2B" w:rsidRPr="00CB2647">
        <w:t>. Gindoff PR,</w:t>
      </w:r>
      <w:r w:rsidR="00C32620">
        <w:t xml:space="preserve"> </w:t>
      </w:r>
      <w:r w:rsidR="004F2E2B" w:rsidRPr="00CB2647">
        <w:t>Hall JL,</w:t>
      </w:r>
      <w:r w:rsidR="00C32620">
        <w:t xml:space="preserve"> </w:t>
      </w:r>
      <w:r w:rsidR="004F2E2B" w:rsidRPr="00CB2647">
        <w:t>Stillman RJ.</w:t>
      </w:r>
      <w:r w:rsidR="00C32620">
        <w:t xml:space="preserve"> </w:t>
      </w:r>
      <w:r w:rsidR="007D7D38" w:rsidRPr="00CB2647">
        <w:t xml:space="preserve">Ovarian suppression </w:t>
      </w:r>
      <w:r w:rsidR="004F2E2B" w:rsidRPr="00CB2647">
        <w:t>with leuprolide acetate:comparison of luteal,follicular and flare-up administation in controlled ovarian hyperstimulation for oocyte retrieval.J İn vitro Fert Embryo Transf7:94-9</w:t>
      </w:r>
      <w:r w:rsidR="0034477B">
        <w:t xml:space="preserve">7, </w:t>
      </w:r>
      <w:r w:rsidR="0034477B" w:rsidRPr="00CB2647">
        <w:t>1990</w:t>
      </w:r>
      <w:r w:rsidR="0034477B">
        <w:t>.</w:t>
      </w:r>
    </w:p>
    <w:p w:rsidR="004F2E2B" w:rsidRPr="00CB2647" w:rsidRDefault="007D6D2E" w:rsidP="002A1FC7">
      <w:pPr>
        <w:spacing w:line="240" w:lineRule="auto"/>
        <w:ind w:left="426" w:hanging="426"/>
      </w:pPr>
      <w:r w:rsidRPr="00CB2647">
        <w:lastRenderedPageBreak/>
        <w:t>39</w:t>
      </w:r>
      <w:r w:rsidR="004F2E2B" w:rsidRPr="00CB2647">
        <w:t>.</w:t>
      </w:r>
      <w:r w:rsidR="00A36FB6" w:rsidRPr="00CB2647">
        <w:t>Bryzski RG,</w:t>
      </w:r>
      <w:r w:rsidR="00C32620">
        <w:t xml:space="preserve"> </w:t>
      </w:r>
      <w:r w:rsidR="00A36FB6" w:rsidRPr="00CB2647">
        <w:t>Muasher SJ,</w:t>
      </w:r>
      <w:r w:rsidR="00C32620">
        <w:t xml:space="preserve"> </w:t>
      </w:r>
      <w:r w:rsidR="00A36FB6" w:rsidRPr="00CB2647">
        <w:t>Droesch K.Follicular atresia associated with concurrent initiation of gonadotropin –releasing hormone agonist a</w:t>
      </w:r>
      <w:r w:rsidR="007D7D38" w:rsidRPr="00CB2647">
        <w:t xml:space="preserve">nd follicle stimulating hormone </w:t>
      </w:r>
      <w:r w:rsidR="00A36FB6" w:rsidRPr="00CB2647">
        <w:t>for oocyte recruitment.</w:t>
      </w:r>
      <w:r w:rsidR="00C32620">
        <w:t xml:space="preserve"> </w:t>
      </w:r>
      <w:r w:rsidR="00A36FB6" w:rsidRPr="00CB2647">
        <w:t>Fertil Steril50:917-921</w:t>
      </w:r>
      <w:r w:rsidR="0034477B">
        <w:t xml:space="preserve">, </w:t>
      </w:r>
      <w:r w:rsidR="0034477B" w:rsidRPr="00CB2647">
        <w:t>1988</w:t>
      </w:r>
      <w:r w:rsidR="0034477B">
        <w:t>.</w:t>
      </w:r>
    </w:p>
    <w:p w:rsidR="002A1FC7" w:rsidRPr="00CB2647" w:rsidRDefault="002A1FC7" w:rsidP="002A1FC7">
      <w:pPr>
        <w:spacing w:line="240" w:lineRule="auto"/>
        <w:ind w:left="426" w:hanging="426"/>
      </w:pPr>
    </w:p>
    <w:p w:rsidR="00A36FB6" w:rsidRPr="00CB2647" w:rsidRDefault="007D6D2E" w:rsidP="002A1FC7">
      <w:pPr>
        <w:spacing w:line="240" w:lineRule="auto"/>
        <w:ind w:left="426" w:hanging="426"/>
      </w:pPr>
      <w:r w:rsidRPr="00CB2647">
        <w:t>40</w:t>
      </w:r>
      <w:r w:rsidR="00A36FB6" w:rsidRPr="00CB2647">
        <w:t>. al-Mizyen E,Sabatini L,Lower AM.</w:t>
      </w:r>
      <w:r w:rsidR="00C32620">
        <w:t xml:space="preserve"> </w:t>
      </w:r>
      <w:r w:rsidR="007D7D38" w:rsidRPr="00CB2647">
        <w:t xml:space="preserve">Does pretreatment </w:t>
      </w:r>
      <w:r w:rsidR="00A36FB6" w:rsidRPr="00CB2647">
        <w:t>with progesteron or oral contraceptive pills in low responders followed by the GnRHa flare protocol improve the outcome of İVF- ET?J Assist Reprod Genet17:140-146</w:t>
      </w:r>
      <w:r w:rsidR="0034477B">
        <w:t xml:space="preserve">, </w:t>
      </w:r>
      <w:r w:rsidR="0034477B" w:rsidRPr="00CB2647">
        <w:t>2000</w:t>
      </w:r>
      <w:r w:rsidR="0034477B">
        <w:t>.</w:t>
      </w:r>
    </w:p>
    <w:p w:rsidR="002A1FC7" w:rsidRPr="00CB2647" w:rsidRDefault="002A1FC7" w:rsidP="002A1FC7">
      <w:pPr>
        <w:spacing w:line="240" w:lineRule="auto"/>
        <w:ind w:left="426" w:hanging="426"/>
      </w:pPr>
    </w:p>
    <w:p w:rsidR="00A36FB6" w:rsidRPr="00CB2647" w:rsidRDefault="007D6D2E" w:rsidP="002A1FC7">
      <w:pPr>
        <w:spacing w:line="240" w:lineRule="auto"/>
        <w:ind w:left="426" w:hanging="426"/>
      </w:pPr>
      <w:r w:rsidRPr="00CB2647">
        <w:t>41</w:t>
      </w:r>
      <w:r w:rsidR="00A36FB6" w:rsidRPr="00CB2647">
        <w:t>. Barrenetxea G,Agirregoikoa JA,</w:t>
      </w:r>
      <w:r w:rsidR="00C32620">
        <w:t xml:space="preserve"> </w:t>
      </w:r>
      <w:r w:rsidR="00A36FB6" w:rsidRPr="00CB2647">
        <w:t>Jimenez MR.</w:t>
      </w:r>
      <w:r w:rsidR="00C32620">
        <w:t xml:space="preserve"> </w:t>
      </w:r>
      <w:r w:rsidR="00A36FB6" w:rsidRPr="00CB2647">
        <w:t>Ovarian responce and pregna</w:t>
      </w:r>
      <w:r w:rsidR="007D7D38" w:rsidRPr="00CB2647">
        <w:t xml:space="preserve">nacy outcome in poor responder </w:t>
      </w:r>
      <w:r w:rsidR="00A36FB6" w:rsidRPr="00CB2647">
        <w:t>woman:a randomized sontrolled tria</w:t>
      </w:r>
      <w:r w:rsidR="007D7D38" w:rsidRPr="00CB2647">
        <w:t xml:space="preserve">l on the effect of luteinizing </w:t>
      </w:r>
      <w:r w:rsidR="00A36FB6" w:rsidRPr="00CB2647">
        <w:t xml:space="preserve">hormone supplementation on in vitro fertilization </w:t>
      </w:r>
      <w:r w:rsidR="00D10B4F" w:rsidRPr="00CB2647">
        <w:t>cycles.Fertil Steril89:546-553</w:t>
      </w:r>
      <w:r w:rsidR="00703E3A">
        <w:t xml:space="preserve">, </w:t>
      </w:r>
      <w:r w:rsidR="00703E3A" w:rsidRPr="00CB2647">
        <w:t>2008</w:t>
      </w:r>
      <w:r w:rsidR="00D10B4F" w:rsidRPr="00CB2647">
        <w:t>.</w:t>
      </w:r>
    </w:p>
    <w:p w:rsidR="002A1FC7" w:rsidRPr="00CB2647" w:rsidRDefault="002A1FC7" w:rsidP="002A1FC7">
      <w:pPr>
        <w:spacing w:line="240" w:lineRule="auto"/>
        <w:ind w:left="426" w:hanging="426"/>
      </w:pPr>
    </w:p>
    <w:p w:rsidR="00D10B4F" w:rsidRPr="00CB2647" w:rsidRDefault="007D6D2E" w:rsidP="002A1FC7">
      <w:pPr>
        <w:spacing w:line="240" w:lineRule="auto"/>
        <w:ind w:left="426" w:hanging="426"/>
      </w:pPr>
      <w:r w:rsidRPr="00CB2647">
        <w:t>42</w:t>
      </w:r>
      <w:r w:rsidR="00D10B4F" w:rsidRPr="00CB2647">
        <w:t xml:space="preserve">.Fabregues F,Creus M,Penarrubia J.Effects of rebombinant human luteinizing hormone supplementation on ovarian stimulaton and the implatation rate in down-regulatedwomenof </w:t>
      </w:r>
      <w:r w:rsidR="007D7D38" w:rsidRPr="00CB2647">
        <w:t xml:space="preserve">advanced reproductive </w:t>
      </w:r>
      <w:r w:rsidR="00D10B4F" w:rsidRPr="00CB2647">
        <w:t>age.</w:t>
      </w:r>
      <w:r w:rsidR="00C32620">
        <w:t xml:space="preserve"> </w:t>
      </w:r>
      <w:r w:rsidR="00D10B4F" w:rsidRPr="00CB2647">
        <w:t>Fertil Steril85:925-931</w:t>
      </w:r>
      <w:r w:rsidR="00703E3A">
        <w:t xml:space="preserve">, </w:t>
      </w:r>
      <w:r w:rsidR="00703E3A" w:rsidRPr="00CB2647">
        <w:t>2006</w:t>
      </w:r>
      <w:r w:rsidR="00D10B4F" w:rsidRPr="00CB2647">
        <w:t>.</w:t>
      </w:r>
    </w:p>
    <w:p w:rsidR="002A1FC7" w:rsidRPr="00CB2647" w:rsidRDefault="002A1FC7" w:rsidP="002A1FC7">
      <w:pPr>
        <w:spacing w:line="240" w:lineRule="auto"/>
        <w:ind w:left="426" w:hanging="426"/>
      </w:pPr>
    </w:p>
    <w:p w:rsidR="00D10B4F" w:rsidRPr="00CB2647" w:rsidRDefault="007D6D2E" w:rsidP="002A1FC7">
      <w:pPr>
        <w:spacing w:line="240" w:lineRule="auto"/>
        <w:ind w:left="426" w:hanging="426"/>
      </w:pPr>
      <w:r w:rsidRPr="00CB2647">
        <w:t>43</w:t>
      </w:r>
      <w:r w:rsidR="00D10B4F" w:rsidRPr="00CB2647">
        <w:t>.Faber BM,</w:t>
      </w:r>
      <w:r w:rsidR="00C32620">
        <w:t xml:space="preserve"> </w:t>
      </w:r>
      <w:r w:rsidR="00D10B4F" w:rsidRPr="00CB2647">
        <w:t>Mayer J,Cox B.Cessation of gonadotropin-</w:t>
      </w:r>
      <w:r w:rsidR="007D7D38" w:rsidRPr="00CB2647">
        <w:t xml:space="preserve">releasing </w:t>
      </w:r>
      <w:r w:rsidR="00D10B4F" w:rsidRPr="00CB2647">
        <w:t>hormone agonist therapy combined with high dose gonadotropin stimula</w:t>
      </w:r>
      <w:r w:rsidR="007D7D38" w:rsidRPr="00CB2647">
        <w:t>tion yields favorable pregnancy</w:t>
      </w:r>
      <w:r w:rsidR="00D10B4F" w:rsidRPr="00CB2647">
        <w:t xml:space="preserve"> results in low responders.Fertil Steril69:826-830</w:t>
      </w:r>
      <w:r w:rsidR="00703E3A">
        <w:t xml:space="preserve">, </w:t>
      </w:r>
      <w:r w:rsidR="00703E3A" w:rsidRPr="00CB2647">
        <w:t>1998</w:t>
      </w:r>
      <w:r w:rsidR="00D10B4F" w:rsidRPr="00CB2647">
        <w:t>.</w:t>
      </w:r>
    </w:p>
    <w:p w:rsidR="002A1FC7" w:rsidRPr="00CB2647" w:rsidRDefault="002A1FC7" w:rsidP="002A1FC7">
      <w:pPr>
        <w:spacing w:line="240" w:lineRule="auto"/>
        <w:ind w:left="426" w:hanging="426"/>
      </w:pPr>
    </w:p>
    <w:p w:rsidR="00D10B4F" w:rsidRPr="00CB2647" w:rsidRDefault="007D6D2E" w:rsidP="002A1FC7">
      <w:pPr>
        <w:spacing w:line="240" w:lineRule="auto"/>
        <w:ind w:left="426" w:hanging="426"/>
      </w:pPr>
      <w:r w:rsidRPr="00CB2647">
        <w:t>44</w:t>
      </w:r>
      <w:r w:rsidR="00D10B4F" w:rsidRPr="00CB2647">
        <w:t>.Olivennes F,Righini C,Fanchin R.A protocol u</w:t>
      </w:r>
      <w:r w:rsidR="00F60639" w:rsidRPr="00CB2647">
        <w:t>sing a low dose of gonadotrophin-releasing hormone agonist might be the best protocol for patients with high follicle-stimulating hormone concetrations on day 3.Hum Reprod11:1169-1172</w:t>
      </w:r>
      <w:r w:rsidR="00703E3A">
        <w:t xml:space="preserve">, </w:t>
      </w:r>
      <w:r w:rsidR="00703E3A" w:rsidRPr="00CB2647">
        <w:t>1996</w:t>
      </w:r>
      <w:r w:rsidR="00F60639" w:rsidRPr="00CB2647">
        <w:t>.</w:t>
      </w:r>
    </w:p>
    <w:p w:rsidR="002A1FC7" w:rsidRPr="00CB2647" w:rsidRDefault="002A1FC7" w:rsidP="002A1FC7">
      <w:pPr>
        <w:spacing w:line="240" w:lineRule="auto"/>
        <w:ind w:left="426" w:hanging="426"/>
      </w:pPr>
    </w:p>
    <w:p w:rsidR="00F60639" w:rsidRPr="00CB2647" w:rsidRDefault="007D6D2E" w:rsidP="002A1FC7">
      <w:pPr>
        <w:spacing w:line="240" w:lineRule="auto"/>
        <w:ind w:left="426" w:hanging="426"/>
      </w:pPr>
      <w:r w:rsidRPr="00CB2647">
        <w:t>45</w:t>
      </w:r>
      <w:r w:rsidR="00F60639" w:rsidRPr="00CB2647">
        <w:t>. Kucuk T,Sozen E.Luteal</w:t>
      </w:r>
      <w:r w:rsidR="007D7D38" w:rsidRPr="00CB2647">
        <w:t xml:space="preserve"> start </w:t>
      </w:r>
      <w:r w:rsidR="00F60639" w:rsidRPr="00CB2647">
        <w:t>of exogenous FSH in poor responder women.</w:t>
      </w:r>
      <w:r w:rsidR="00C32620">
        <w:t xml:space="preserve"> </w:t>
      </w:r>
      <w:r w:rsidR="00F60639" w:rsidRPr="00CB2647">
        <w:t>J Assist Reprod Genet24:</w:t>
      </w:r>
      <w:r w:rsidR="007D7D38" w:rsidRPr="00CB2647">
        <w:t xml:space="preserve"> 635-638</w:t>
      </w:r>
      <w:r w:rsidR="00703E3A">
        <w:t xml:space="preserve">, </w:t>
      </w:r>
      <w:r w:rsidR="00703E3A" w:rsidRPr="00CB2647">
        <w:t>2007</w:t>
      </w:r>
      <w:r w:rsidR="00703E3A">
        <w:t>.</w:t>
      </w:r>
    </w:p>
    <w:p w:rsidR="002A1FC7" w:rsidRPr="00CB2647" w:rsidRDefault="002A1FC7" w:rsidP="002A1FC7">
      <w:pPr>
        <w:spacing w:line="240" w:lineRule="auto"/>
        <w:ind w:left="426" w:hanging="426"/>
      </w:pPr>
    </w:p>
    <w:p w:rsidR="00F60639" w:rsidRPr="00CB2647" w:rsidRDefault="007D6D2E" w:rsidP="002A1FC7">
      <w:pPr>
        <w:spacing w:line="240" w:lineRule="auto"/>
        <w:ind w:left="426" w:hanging="426"/>
      </w:pPr>
      <w:r w:rsidRPr="00CB2647">
        <w:t>46</w:t>
      </w:r>
      <w:r w:rsidR="00F60639" w:rsidRPr="00CB2647">
        <w:t>.Scott RT,</w:t>
      </w:r>
      <w:r w:rsidR="00C32620">
        <w:t xml:space="preserve"> </w:t>
      </w:r>
      <w:r w:rsidR="00F60639" w:rsidRPr="00CB2647">
        <w:t>Navot D.enhacement of ovarian responsiveness with micro doses of gonadotropin releasing hormone agonist during ovulation induction for in vitro fertilization.</w:t>
      </w:r>
      <w:r w:rsidR="00C32620">
        <w:t xml:space="preserve"> </w:t>
      </w:r>
      <w:r w:rsidR="00F60639" w:rsidRPr="00CB2647">
        <w:t>Fertil Steril61:880-885</w:t>
      </w:r>
      <w:r w:rsidR="00703E3A">
        <w:t xml:space="preserve">, </w:t>
      </w:r>
      <w:r w:rsidR="00703E3A" w:rsidRPr="00CB2647">
        <w:t>1994</w:t>
      </w:r>
      <w:r w:rsidR="00703E3A">
        <w:t>.</w:t>
      </w:r>
    </w:p>
    <w:p w:rsidR="002A1FC7" w:rsidRPr="00CB2647" w:rsidRDefault="002A1FC7" w:rsidP="002A1FC7">
      <w:pPr>
        <w:spacing w:line="240" w:lineRule="auto"/>
        <w:ind w:left="426" w:hanging="426"/>
      </w:pPr>
    </w:p>
    <w:p w:rsidR="00F60639" w:rsidRPr="00CB2647" w:rsidRDefault="007D6D2E" w:rsidP="002A1FC7">
      <w:pPr>
        <w:spacing w:line="240" w:lineRule="auto"/>
        <w:ind w:left="426" w:hanging="426"/>
      </w:pPr>
      <w:r w:rsidRPr="00CB2647">
        <w:t>47</w:t>
      </w:r>
      <w:r w:rsidR="00F60639" w:rsidRPr="00CB2647">
        <w:t>.Morgia F,Sbracia M,Schimberni M.Acontrolled trial of natural cycle versus microdose gonadotropin releasing hormone analog flare cycles in poor</w:t>
      </w:r>
      <w:r w:rsidR="002A078A" w:rsidRPr="00CB2647">
        <w:t xml:space="preserve"> responders undergoing in vitro </w:t>
      </w:r>
      <w:r w:rsidR="007D7D38" w:rsidRPr="00CB2647">
        <w:t>fertilization</w:t>
      </w:r>
      <w:r w:rsidR="00F60639" w:rsidRPr="00CB2647">
        <w:t>.</w:t>
      </w:r>
      <w:r w:rsidR="00C32620">
        <w:t xml:space="preserve"> </w:t>
      </w:r>
      <w:r w:rsidR="00F60639" w:rsidRPr="00CB2647">
        <w:t>Fertil Steril81:1542-1547</w:t>
      </w:r>
      <w:r w:rsidR="00703E3A">
        <w:t xml:space="preserve">, </w:t>
      </w:r>
      <w:r w:rsidR="00703E3A" w:rsidRPr="00CB2647">
        <w:t>2004</w:t>
      </w:r>
      <w:r w:rsidR="00F60639" w:rsidRPr="00CB2647">
        <w:t>.</w:t>
      </w:r>
    </w:p>
    <w:p w:rsidR="002A1FC7" w:rsidRPr="00CB2647" w:rsidRDefault="002A1FC7" w:rsidP="002A1FC7">
      <w:pPr>
        <w:spacing w:line="240" w:lineRule="auto"/>
        <w:ind w:left="426" w:hanging="426"/>
      </w:pPr>
    </w:p>
    <w:p w:rsidR="00F60639" w:rsidRPr="00CB2647" w:rsidRDefault="007D6D2E" w:rsidP="002A1FC7">
      <w:pPr>
        <w:spacing w:line="240" w:lineRule="auto"/>
        <w:ind w:left="426" w:hanging="426"/>
      </w:pPr>
      <w:r w:rsidRPr="00CB2647">
        <w:t>48</w:t>
      </w:r>
      <w:r w:rsidR="00F60639" w:rsidRPr="00CB2647">
        <w:t>.</w:t>
      </w:r>
      <w:r w:rsidR="00053BA6" w:rsidRPr="00CB2647">
        <w:t xml:space="preserve"> Griesinger G,Diedrich K,Tarlatzis CB</w:t>
      </w:r>
      <w:r w:rsidR="00703E3A">
        <w:t xml:space="preserve">, </w:t>
      </w:r>
      <w:r w:rsidR="00053BA6" w:rsidRPr="00CB2647">
        <w:t>Kolibianakis EM.</w:t>
      </w:r>
      <w:r w:rsidR="00C32620">
        <w:t xml:space="preserve"> </w:t>
      </w:r>
      <w:r w:rsidR="00053BA6" w:rsidRPr="00CB2647">
        <w:t>GnRH-antagonist in ovarian stimulation for İVF in patients with poor response to gonadotrophins,polycystic ovary syndrome and r</w:t>
      </w:r>
      <w:r w:rsidR="002A078A" w:rsidRPr="00CB2647">
        <w:t>isk of ovarian hyperstimulation</w:t>
      </w:r>
      <w:r w:rsidR="00053BA6" w:rsidRPr="00CB2647">
        <w:t>:a meta-analysis.Reproductive</w:t>
      </w:r>
      <w:r w:rsidR="002A078A" w:rsidRPr="00CB2647">
        <w:t xml:space="preserve"> BioMedicine Online13:628-</w:t>
      </w:r>
      <w:r w:rsidR="00053BA6" w:rsidRPr="00CB2647">
        <w:t>638</w:t>
      </w:r>
      <w:r w:rsidR="00703E3A">
        <w:t xml:space="preserve">, </w:t>
      </w:r>
      <w:r w:rsidR="00703E3A" w:rsidRPr="00CB2647">
        <w:t>2006</w:t>
      </w:r>
      <w:r w:rsidR="00053BA6" w:rsidRPr="00CB2647">
        <w:t>.</w:t>
      </w:r>
    </w:p>
    <w:p w:rsidR="002A1FC7" w:rsidRPr="00CB2647" w:rsidRDefault="002A1FC7" w:rsidP="002A1FC7">
      <w:pPr>
        <w:spacing w:line="240" w:lineRule="auto"/>
        <w:ind w:left="426" w:hanging="426"/>
      </w:pPr>
    </w:p>
    <w:p w:rsidR="00053BA6" w:rsidRPr="00CB2647" w:rsidRDefault="007D6D2E" w:rsidP="002A1FC7">
      <w:pPr>
        <w:spacing w:line="240" w:lineRule="auto"/>
        <w:ind w:left="426" w:hanging="426"/>
      </w:pPr>
      <w:r w:rsidRPr="00CB2647">
        <w:t>49</w:t>
      </w:r>
      <w:r w:rsidR="00053BA6" w:rsidRPr="00CB2647">
        <w:t>.</w:t>
      </w:r>
      <w:r w:rsidR="007D7D38" w:rsidRPr="00CB2647">
        <w:t>Lainas TG</w:t>
      </w:r>
      <w:r w:rsidR="00053BA6" w:rsidRPr="00CB2647">
        <w:t>,</w:t>
      </w:r>
      <w:r w:rsidR="00C32620">
        <w:t xml:space="preserve"> </w:t>
      </w:r>
      <w:r w:rsidR="00053BA6" w:rsidRPr="00CB2647">
        <w:t>Sfontouris LA,</w:t>
      </w:r>
      <w:r w:rsidR="00C32620">
        <w:t xml:space="preserve"> </w:t>
      </w:r>
      <w:r w:rsidR="00053BA6" w:rsidRPr="00CB2647">
        <w:t>Papanikolaou EG.Flexible GnRH antagonist versus flare up GnRH agonist protocol in poor responders terated by İVF:a randomized controlled trial.Hum Reprod23:1355-1358</w:t>
      </w:r>
      <w:r w:rsidR="00703E3A">
        <w:t xml:space="preserve">, </w:t>
      </w:r>
      <w:r w:rsidR="00703E3A" w:rsidRPr="00CB2647">
        <w:t>2008</w:t>
      </w:r>
      <w:r w:rsidR="00053BA6" w:rsidRPr="00CB2647">
        <w:t>.</w:t>
      </w:r>
    </w:p>
    <w:p w:rsidR="002A1FC7" w:rsidRPr="00CB2647" w:rsidRDefault="002A1FC7" w:rsidP="002A1FC7">
      <w:pPr>
        <w:spacing w:line="240" w:lineRule="auto"/>
        <w:ind w:left="426" w:hanging="426"/>
      </w:pPr>
    </w:p>
    <w:p w:rsidR="00876166" w:rsidRPr="00CB2647" w:rsidRDefault="007D6D2E" w:rsidP="002A1FC7">
      <w:pPr>
        <w:spacing w:line="240" w:lineRule="auto"/>
        <w:ind w:left="426" w:hanging="426"/>
      </w:pPr>
      <w:r w:rsidRPr="00CB2647">
        <w:t>50</w:t>
      </w:r>
      <w:r w:rsidR="00876166" w:rsidRPr="00CB2647">
        <w:t>.</w:t>
      </w:r>
      <w:r w:rsidR="00B90988" w:rsidRPr="00CB2647">
        <w:t>Fanchin R,Cunha-Filho JS,</w:t>
      </w:r>
      <w:r w:rsidR="00C32620">
        <w:t xml:space="preserve"> </w:t>
      </w:r>
      <w:r w:rsidR="00B90988" w:rsidRPr="00CB2647">
        <w:t>Schonauer LM.</w:t>
      </w:r>
      <w:r w:rsidR="00C32620">
        <w:t xml:space="preserve"> </w:t>
      </w:r>
      <w:r w:rsidR="00B90988" w:rsidRPr="00CB2647">
        <w:t>Coordination of early antral follicles by luteal estardiol administration provides a basis for alternative cont</w:t>
      </w:r>
      <w:r w:rsidR="007D7D38" w:rsidRPr="00CB2647">
        <w:t xml:space="preserve">rolled ovarian hyperstimulation </w:t>
      </w:r>
      <w:r w:rsidR="00B90988" w:rsidRPr="00CB2647">
        <w:t>regimens.</w:t>
      </w:r>
      <w:r w:rsidR="00C32620">
        <w:t xml:space="preserve"> </w:t>
      </w:r>
      <w:r w:rsidR="00B90988" w:rsidRPr="00CB2647">
        <w:t>Fertil Steril79:316-321</w:t>
      </w:r>
      <w:r w:rsidR="00703E3A">
        <w:t xml:space="preserve">, </w:t>
      </w:r>
      <w:r w:rsidR="00703E3A" w:rsidRPr="00CB2647">
        <w:t>2003</w:t>
      </w:r>
      <w:r w:rsidR="00703E3A">
        <w:t>.</w:t>
      </w:r>
    </w:p>
    <w:p w:rsidR="00B90988" w:rsidRPr="00CB2647" w:rsidRDefault="007D6D2E" w:rsidP="002A1FC7">
      <w:pPr>
        <w:spacing w:line="240" w:lineRule="auto"/>
        <w:ind w:left="426" w:hanging="426"/>
      </w:pPr>
      <w:r w:rsidRPr="00CB2647">
        <w:lastRenderedPageBreak/>
        <w:t>51</w:t>
      </w:r>
      <w:r w:rsidR="00B90988" w:rsidRPr="00CB2647">
        <w:t>.Barad D,Brill H,Gleicher N.Update on the use of dehydroepiandros</w:t>
      </w:r>
      <w:r w:rsidR="007D7D38" w:rsidRPr="00CB2647">
        <w:t xml:space="preserve">terone </w:t>
      </w:r>
      <w:r w:rsidR="00B90988" w:rsidRPr="00CB2647">
        <w:t>supplementation among women w</w:t>
      </w:r>
      <w:r w:rsidR="007D7D38" w:rsidRPr="00CB2647">
        <w:t>ith diminished ovarian function</w:t>
      </w:r>
      <w:r w:rsidR="00B90988" w:rsidRPr="00CB2647">
        <w:t>.</w:t>
      </w:r>
      <w:r w:rsidR="007D7D38" w:rsidRPr="00CB2647">
        <w:t xml:space="preserve"> J A</w:t>
      </w:r>
      <w:r w:rsidR="00B90988" w:rsidRPr="00CB2647">
        <w:t>sist Reprod Genet24:629-634</w:t>
      </w:r>
      <w:r w:rsidR="00703E3A">
        <w:t xml:space="preserve">, </w:t>
      </w:r>
      <w:r w:rsidR="00703E3A" w:rsidRPr="00CB2647">
        <w:t>2007</w:t>
      </w:r>
      <w:r w:rsidR="00B90988" w:rsidRPr="00CB2647">
        <w:t>.</w:t>
      </w:r>
    </w:p>
    <w:p w:rsidR="002A1FC7" w:rsidRPr="00CB2647" w:rsidRDefault="002A1FC7" w:rsidP="002A1FC7">
      <w:pPr>
        <w:spacing w:line="240" w:lineRule="auto"/>
        <w:ind w:left="426" w:hanging="426"/>
      </w:pPr>
    </w:p>
    <w:p w:rsidR="00B90988" w:rsidRPr="00CB2647" w:rsidRDefault="008D3243" w:rsidP="002A1FC7">
      <w:pPr>
        <w:spacing w:line="240" w:lineRule="auto"/>
        <w:ind w:left="426" w:hanging="426"/>
      </w:pPr>
      <w:r w:rsidRPr="00CB2647">
        <w:t>52</w:t>
      </w:r>
      <w:r w:rsidR="00B90988" w:rsidRPr="00CB2647">
        <w:t>.Schimberni M,Morgia F,Colabianchi J.Natural Cycle in vitro fertilization in poor responder patients:</w:t>
      </w:r>
      <w:r w:rsidR="00C32620">
        <w:t xml:space="preserve"> </w:t>
      </w:r>
      <w:r w:rsidR="00B90988" w:rsidRPr="00CB2647">
        <w:t>a survey of 500 consecutive cycles.</w:t>
      </w:r>
      <w:r w:rsidR="00C32620">
        <w:t xml:space="preserve"> </w:t>
      </w:r>
      <w:r w:rsidR="00B90988" w:rsidRPr="00CB2647">
        <w:t>Fertil Steril7:1765</w:t>
      </w:r>
      <w:r w:rsidR="00703E3A">
        <w:t xml:space="preserve">, </w:t>
      </w:r>
      <w:r w:rsidR="00703E3A" w:rsidRPr="00CB2647">
        <w:t>2008</w:t>
      </w:r>
      <w:r w:rsidR="00B90988" w:rsidRPr="00CB2647">
        <w:t>.</w:t>
      </w:r>
    </w:p>
    <w:p w:rsidR="002A1FC7" w:rsidRPr="00CB2647" w:rsidRDefault="002A1FC7" w:rsidP="002A1FC7">
      <w:pPr>
        <w:spacing w:line="240" w:lineRule="auto"/>
        <w:ind w:left="426" w:hanging="426"/>
      </w:pPr>
    </w:p>
    <w:p w:rsidR="00B90988" w:rsidRPr="00CB2647" w:rsidRDefault="008D3243" w:rsidP="002A1FC7">
      <w:pPr>
        <w:spacing w:line="240" w:lineRule="auto"/>
        <w:ind w:left="426" w:hanging="426"/>
      </w:pPr>
      <w:r w:rsidRPr="00CB2647">
        <w:t>53</w:t>
      </w:r>
      <w:r w:rsidR="00C13776" w:rsidRPr="00CB2647">
        <w:t>.</w:t>
      </w:r>
      <w:r w:rsidR="00687CB1" w:rsidRPr="00CB2647">
        <w:t>Wang W,Zhang XH,</w:t>
      </w:r>
      <w:r w:rsidR="00C32620">
        <w:t xml:space="preserve"> </w:t>
      </w:r>
      <w:r w:rsidR="00687CB1" w:rsidRPr="00CB2647">
        <w:t xml:space="preserve">Wang WH,Liu YL,Zhao LH,Xue SL,Yang KH.The time interval </w:t>
      </w:r>
      <w:r w:rsidR="007D7D38" w:rsidRPr="00CB2647">
        <w:t xml:space="preserve">between hCG priming and oocyte </w:t>
      </w:r>
      <w:r w:rsidR="00687CB1" w:rsidRPr="00CB2647">
        <w:t>retrieval in ART program:a meta-analysis.J Assist Reprod Genet28:901-10</w:t>
      </w:r>
      <w:r w:rsidR="00703E3A">
        <w:t xml:space="preserve">, </w:t>
      </w:r>
      <w:r w:rsidR="00703E3A" w:rsidRPr="00CB2647">
        <w:t>2011</w:t>
      </w:r>
      <w:r w:rsidR="00687CB1" w:rsidRPr="00CB2647">
        <w:t>.</w:t>
      </w:r>
    </w:p>
    <w:p w:rsidR="002A1FC7" w:rsidRPr="00CB2647" w:rsidRDefault="002A1FC7" w:rsidP="002A1FC7">
      <w:pPr>
        <w:spacing w:line="240" w:lineRule="auto"/>
        <w:ind w:left="426" w:hanging="426"/>
      </w:pPr>
    </w:p>
    <w:p w:rsidR="008D3243" w:rsidRPr="00CB2647" w:rsidRDefault="008D3243" w:rsidP="002A1FC7">
      <w:pPr>
        <w:spacing w:line="240" w:lineRule="auto"/>
        <w:ind w:left="426" w:hanging="426"/>
      </w:pPr>
      <w:r w:rsidRPr="00CB2647">
        <w:t>54. Itskovitz-Eldor J, Kol S, Mannaerts B. Use of a single bolus of GnRH agonist triptorelin to trigger ovulation after GnRH antagonist ganirelix treatment in women undergoing ovarian stimulation for assisted reproduction, with special reference to the prevention of ovarian hyperstimulation syndrome: preliminary report: short communication. Hum Reprod15: 1965</w:t>
      </w:r>
      <w:r w:rsidR="00834A48">
        <w:t>-</w:t>
      </w:r>
      <w:r w:rsidRPr="00CB2647">
        <w:t>8</w:t>
      </w:r>
      <w:r w:rsidR="00834A48">
        <w:t xml:space="preserve">, </w:t>
      </w:r>
      <w:r w:rsidR="00834A48" w:rsidRPr="00CB2647">
        <w:t>2000</w:t>
      </w:r>
      <w:r w:rsidRPr="00CB2647">
        <w:t>.</w:t>
      </w:r>
    </w:p>
    <w:p w:rsidR="002A1FC7" w:rsidRPr="00CB2647" w:rsidRDefault="002A1FC7" w:rsidP="002A1FC7">
      <w:pPr>
        <w:spacing w:line="240" w:lineRule="auto"/>
        <w:ind w:left="426" w:hanging="426"/>
      </w:pPr>
    </w:p>
    <w:p w:rsidR="008D3243" w:rsidRPr="00CB2647" w:rsidRDefault="008D3243" w:rsidP="002A1FC7">
      <w:pPr>
        <w:spacing w:line="240" w:lineRule="auto"/>
        <w:ind w:left="426" w:hanging="426"/>
      </w:pPr>
      <w:r w:rsidRPr="00CB2647">
        <w:t>55. Griesinger G, Diedrich K, Devroey P, Kolibianakis EM. GnRH agonist for triggering final oocyte maturation in the GnRH antagonist ovarian hyperstimulation protocol: a systematic review and meta-analysis. Hum Reprod Update12: 159</w:t>
      </w:r>
      <w:r w:rsidR="00834A48">
        <w:t>-</w:t>
      </w:r>
      <w:r w:rsidRPr="00CB2647">
        <w:t>68</w:t>
      </w:r>
      <w:r w:rsidR="00834A48">
        <w:t xml:space="preserve">, </w:t>
      </w:r>
      <w:r w:rsidR="00834A48" w:rsidRPr="00CB2647">
        <w:t>2006</w:t>
      </w:r>
      <w:r w:rsidR="004557BC" w:rsidRPr="00CB2647">
        <w:t>.</w:t>
      </w:r>
    </w:p>
    <w:p w:rsidR="002A1FC7" w:rsidRPr="00CB2647" w:rsidRDefault="002A1FC7" w:rsidP="002A1FC7">
      <w:pPr>
        <w:spacing w:line="240" w:lineRule="auto"/>
        <w:ind w:left="426" w:hanging="426"/>
      </w:pPr>
    </w:p>
    <w:p w:rsidR="004557BC" w:rsidRPr="00CB2647" w:rsidRDefault="004557BC" w:rsidP="002A1FC7">
      <w:pPr>
        <w:spacing w:line="240" w:lineRule="auto"/>
        <w:ind w:left="426" w:hanging="426"/>
      </w:pPr>
      <w:r w:rsidRPr="00CB2647">
        <w:t>56. Orvieto R, Rabinson J, Meltzer S, Zohav E, Anteby E, Homburg R. Substituting HCG with GnRH agonist to trigger final follicular maturation</w:t>
      </w:r>
      <w:r w:rsidR="00834A48">
        <w:t>-</w:t>
      </w:r>
      <w:r w:rsidRPr="00CB2647">
        <w:t>a retrospective comparison of three different ovarian stimulation protocols. Reprod Biomed Online13: 198</w:t>
      </w:r>
      <w:r w:rsidR="00834A48">
        <w:t>-</w:t>
      </w:r>
      <w:r w:rsidRPr="00CB2647">
        <w:t>201</w:t>
      </w:r>
      <w:r w:rsidR="00834A48">
        <w:t xml:space="preserve">, </w:t>
      </w:r>
      <w:r w:rsidR="00834A48" w:rsidRPr="00CB2647">
        <w:t>2006</w:t>
      </w:r>
      <w:r w:rsidRPr="00CB2647">
        <w:t>.</w:t>
      </w:r>
    </w:p>
    <w:p w:rsidR="002A1FC7" w:rsidRPr="00CB2647" w:rsidRDefault="002A1FC7" w:rsidP="002A1FC7">
      <w:pPr>
        <w:spacing w:line="240" w:lineRule="auto"/>
        <w:ind w:left="426" w:hanging="426"/>
      </w:pPr>
    </w:p>
    <w:p w:rsidR="00BF09C2" w:rsidRPr="00CB2647" w:rsidRDefault="00BF09C2" w:rsidP="002A1FC7">
      <w:pPr>
        <w:spacing w:line="240" w:lineRule="auto"/>
        <w:ind w:left="426" w:hanging="426"/>
      </w:pPr>
      <w:r w:rsidRPr="00CB2647">
        <w:t>57. Lin MH, Wu FS, Lee RK, Li SH, Lin SY, Hwu YM. Dual trigger with combination of gonadotropin-releasing hormone agonist and human chorionic gonadotropin significantly improves the live-birth rate for normal responders in GnRH-antagonist cycles. Fertil Steril100:1296</w:t>
      </w:r>
      <w:r w:rsidR="00834A48">
        <w:t>-</w:t>
      </w:r>
      <w:r w:rsidRPr="00CB2647">
        <w:t>302</w:t>
      </w:r>
      <w:r w:rsidR="00834A48">
        <w:t xml:space="preserve">, </w:t>
      </w:r>
      <w:r w:rsidR="00834A48" w:rsidRPr="00CB2647">
        <w:t>2013</w:t>
      </w:r>
      <w:r w:rsidRPr="00CB2647">
        <w:t>.</w:t>
      </w:r>
    </w:p>
    <w:p w:rsidR="002A1FC7" w:rsidRPr="00CB2647" w:rsidRDefault="002A1FC7" w:rsidP="002A1FC7">
      <w:pPr>
        <w:spacing w:line="240" w:lineRule="auto"/>
        <w:ind w:left="426" w:hanging="426"/>
      </w:pPr>
    </w:p>
    <w:p w:rsidR="00BF09C2" w:rsidRPr="00CB2647" w:rsidRDefault="00BF09C2" w:rsidP="002A1FC7">
      <w:pPr>
        <w:spacing w:line="240" w:lineRule="auto"/>
        <w:ind w:left="426" w:hanging="426"/>
      </w:pPr>
      <w:r w:rsidRPr="00CB2647">
        <w:t>58. Beck-Fruchter R, Weiss A, Lavee M, Geslevich Y, Shalev E. Empty follicle syndrome: successful treatment in a recurrent case and review of the literature. Hum Reprod27: 1357</w:t>
      </w:r>
      <w:r w:rsidR="00834A48">
        <w:t>-</w:t>
      </w:r>
      <w:r w:rsidRPr="00CB2647">
        <w:t>67</w:t>
      </w:r>
      <w:r w:rsidR="00834A48">
        <w:t xml:space="preserve">, </w:t>
      </w:r>
      <w:r w:rsidR="00834A48" w:rsidRPr="00CB2647">
        <w:t>2012</w:t>
      </w:r>
      <w:r w:rsidRPr="00CB2647">
        <w:t>.</w:t>
      </w:r>
    </w:p>
    <w:p w:rsidR="002A1FC7" w:rsidRPr="00CB2647" w:rsidRDefault="002A1FC7" w:rsidP="002A1FC7">
      <w:pPr>
        <w:spacing w:line="240" w:lineRule="auto"/>
        <w:ind w:left="426" w:hanging="426"/>
      </w:pPr>
    </w:p>
    <w:p w:rsidR="00BF09C2" w:rsidRPr="00CB2647" w:rsidRDefault="00BF09C2" w:rsidP="002A1FC7">
      <w:pPr>
        <w:spacing w:line="240" w:lineRule="auto"/>
        <w:ind w:left="426" w:hanging="426"/>
      </w:pPr>
      <w:r w:rsidRPr="00CB2647">
        <w:t>59. Wang W, Zhang XH, Wang WH, Liu YL, Zhao LH, Xue SL. The time interval between hCG priming and oocyte retrieval in ART program: a metaanalysis. J Assist Reprod Genet28: 901</w:t>
      </w:r>
      <w:r w:rsidR="00834A48">
        <w:t>-</w:t>
      </w:r>
      <w:r w:rsidRPr="00CB2647">
        <w:t>10</w:t>
      </w:r>
      <w:r w:rsidR="00834A48">
        <w:t xml:space="preserve">, </w:t>
      </w:r>
      <w:r w:rsidR="00834A48" w:rsidRPr="00CB2647">
        <w:t>2011</w:t>
      </w:r>
      <w:r w:rsidRPr="00CB2647">
        <w:t>.</w:t>
      </w:r>
    </w:p>
    <w:p w:rsidR="002A1FC7" w:rsidRPr="00CB2647" w:rsidRDefault="002A1FC7" w:rsidP="002A1FC7">
      <w:pPr>
        <w:spacing w:line="240" w:lineRule="auto"/>
        <w:ind w:left="426" w:hanging="426"/>
      </w:pPr>
    </w:p>
    <w:p w:rsidR="00BF09C2" w:rsidRPr="00CB2647" w:rsidRDefault="00BF09C2" w:rsidP="002A1FC7">
      <w:pPr>
        <w:spacing w:line="240" w:lineRule="auto"/>
        <w:ind w:left="426" w:hanging="426"/>
      </w:pPr>
      <w:r w:rsidRPr="00CB2647">
        <w:t>60. Haas J, Zilberberg E, Dar S, Kedem A, Machtinger R, Orvieto R. Co-administrationof GnRH-agonist and hCG for final oocyte maturation (double trigger) in patients with low number of oocytes retrieved per number of preovulatory follicles-a preliminary report. Journal of Ovarian Research7: 77</w:t>
      </w:r>
      <w:r w:rsidR="00834A48">
        <w:t xml:space="preserve">, </w:t>
      </w:r>
      <w:r w:rsidR="00834A48" w:rsidRPr="00CB2647">
        <w:t>2014</w:t>
      </w:r>
      <w:r w:rsidRPr="00CB2647">
        <w:t>.</w:t>
      </w:r>
    </w:p>
    <w:p w:rsidR="002A1FC7" w:rsidRPr="00CB2647" w:rsidRDefault="002A1FC7" w:rsidP="002A1FC7">
      <w:pPr>
        <w:spacing w:line="240" w:lineRule="auto"/>
        <w:ind w:left="426" w:hanging="426"/>
      </w:pPr>
    </w:p>
    <w:p w:rsidR="00B16703" w:rsidRPr="00CB2647" w:rsidRDefault="00B16703" w:rsidP="002A1FC7">
      <w:pPr>
        <w:spacing w:line="240" w:lineRule="auto"/>
        <w:ind w:left="426" w:hanging="426"/>
      </w:pPr>
      <w:r w:rsidRPr="00CB2647">
        <w:t>61. Zilberberg E, Haas J, Dar S, Kedem A, Machtinger R, Orvieto R. Co-administration of GnRH-agonist and hCG for final oocyte maturation in patients with low proportion of mature oocytes. Gyn Endocrinol31: 145</w:t>
      </w:r>
      <w:r w:rsidR="00834A48">
        <w:t>-</w:t>
      </w:r>
      <w:r w:rsidRPr="00CB2647">
        <w:t>7</w:t>
      </w:r>
      <w:r w:rsidR="00834A48">
        <w:t xml:space="preserve">, </w:t>
      </w:r>
      <w:r w:rsidR="00834A48" w:rsidRPr="00CB2647">
        <w:t>2015</w:t>
      </w:r>
      <w:r w:rsidRPr="00CB2647">
        <w:t>.</w:t>
      </w:r>
    </w:p>
    <w:p w:rsidR="002A1FC7" w:rsidRPr="00CB2647" w:rsidRDefault="002A1FC7" w:rsidP="002A1FC7">
      <w:pPr>
        <w:spacing w:line="240" w:lineRule="auto"/>
        <w:ind w:left="426" w:hanging="426"/>
      </w:pPr>
    </w:p>
    <w:p w:rsidR="00B7564A" w:rsidRPr="00CB2647" w:rsidRDefault="00B7564A" w:rsidP="002A1FC7">
      <w:pPr>
        <w:spacing w:line="240" w:lineRule="auto"/>
        <w:ind w:left="426" w:hanging="426"/>
      </w:pPr>
      <w:r w:rsidRPr="00CB2647">
        <w:lastRenderedPageBreak/>
        <w:t>62. Martinez F, Barri PN, Coroleu B, Tur R, Sorsa-Leslie T, Harris WJ. Womenwith poor response to IVF have lowered circulating gonadotrophin surgeattenuating factor (GnSAF) bioactivity during spontaneous and stimulated cycles. Hum Reprod17: 634</w:t>
      </w:r>
      <w:r w:rsidR="00834A48">
        <w:t>-</w:t>
      </w:r>
      <w:r w:rsidRPr="00CB2647">
        <w:t>40</w:t>
      </w:r>
      <w:r w:rsidR="00834A48">
        <w:t xml:space="preserve">, </w:t>
      </w:r>
      <w:r w:rsidR="00834A48" w:rsidRPr="00CB2647">
        <w:t>2002</w:t>
      </w:r>
      <w:r w:rsidR="004C42F7" w:rsidRPr="00CB2647">
        <w:t>.</w:t>
      </w:r>
    </w:p>
    <w:p w:rsidR="002A1FC7" w:rsidRPr="00CB2647" w:rsidRDefault="002A1FC7" w:rsidP="002A1FC7">
      <w:pPr>
        <w:spacing w:line="240" w:lineRule="auto"/>
        <w:ind w:left="426" w:hanging="426"/>
      </w:pPr>
    </w:p>
    <w:p w:rsidR="004C42F7" w:rsidRPr="00CB2647" w:rsidRDefault="004C42F7" w:rsidP="002A1FC7">
      <w:pPr>
        <w:spacing w:line="240" w:lineRule="auto"/>
        <w:ind w:left="426" w:hanging="426"/>
      </w:pPr>
      <w:r w:rsidRPr="00CB2647">
        <w:t>63. Ben-Rafael Z, Orvieto R, Feldberg D. The poor-responder patient in an in-vitro fertilization-embryo transfer (IVF-ET) program. Gynecol Endocrinol8: 277</w:t>
      </w:r>
      <w:r w:rsidR="00834A48">
        <w:t>-</w:t>
      </w:r>
      <w:r w:rsidRPr="00CB2647">
        <w:t>86</w:t>
      </w:r>
      <w:r w:rsidR="00834A48">
        <w:t xml:space="preserve">, </w:t>
      </w:r>
      <w:r w:rsidR="00834A48" w:rsidRPr="00CB2647">
        <w:t>1994</w:t>
      </w:r>
      <w:r w:rsidR="00834A48">
        <w:t>.</w:t>
      </w:r>
    </w:p>
    <w:p w:rsidR="002A1FC7" w:rsidRPr="00CB2647" w:rsidRDefault="002A1FC7" w:rsidP="002A1FC7">
      <w:pPr>
        <w:spacing w:line="240" w:lineRule="auto"/>
        <w:ind w:left="426" w:hanging="426"/>
      </w:pPr>
    </w:p>
    <w:p w:rsidR="00687CB1" w:rsidRPr="00CB2647" w:rsidRDefault="00330D68" w:rsidP="002A1FC7">
      <w:pPr>
        <w:spacing w:line="240" w:lineRule="auto"/>
        <w:ind w:left="426" w:hanging="426"/>
      </w:pPr>
      <w:r w:rsidRPr="00CB2647">
        <w:t>64</w:t>
      </w:r>
      <w:r w:rsidR="00687CB1" w:rsidRPr="00CB2647">
        <w:t xml:space="preserve">. </w:t>
      </w:r>
      <w:r w:rsidR="006B42BE" w:rsidRPr="00CB2647">
        <w:t>Beilin Y,Bodian CA,</w:t>
      </w:r>
      <w:r w:rsidR="00C32620">
        <w:t xml:space="preserve"> </w:t>
      </w:r>
      <w:r w:rsidR="006B42BE" w:rsidRPr="00CB2647">
        <w:t>Mukherjee T.</w:t>
      </w:r>
      <w:r w:rsidR="002A078A" w:rsidRPr="00CB2647">
        <w:t xml:space="preserve"> The use of propofol</w:t>
      </w:r>
      <w:r w:rsidR="006B42BE" w:rsidRPr="00CB2647">
        <w:t>,</w:t>
      </w:r>
      <w:r w:rsidR="00C32620">
        <w:t xml:space="preserve"> </w:t>
      </w:r>
      <w:r w:rsidR="006B42BE" w:rsidRPr="00CB2647">
        <w:t>nitrous oxxide or isoflurane does not affect the</w:t>
      </w:r>
      <w:r w:rsidR="007D7D38" w:rsidRPr="00CB2647">
        <w:t>reproductive</w:t>
      </w:r>
      <w:r w:rsidR="006B42BE" w:rsidRPr="00CB2647">
        <w:t xml:space="preserve"> success rate following gamete intrafallopian transfer (GİFT): a multicenter pilot trial</w:t>
      </w:r>
      <w:r w:rsidR="007D7D38" w:rsidRPr="00CB2647">
        <w:t xml:space="preserve">/survey. Anesthesiology90: </w:t>
      </w:r>
      <w:r w:rsidR="006B42BE" w:rsidRPr="00CB2647">
        <w:t>36-41</w:t>
      </w:r>
      <w:r w:rsidR="00834A48">
        <w:t xml:space="preserve">, </w:t>
      </w:r>
      <w:r w:rsidR="00834A48" w:rsidRPr="00CB2647">
        <w:t>1999</w:t>
      </w:r>
      <w:r w:rsidR="00B066B3" w:rsidRPr="00CB2647">
        <w:t>.</w:t>
      </w:r>
    </w:p>
    <w:p w:rsidR="002A1FC7" w:rsidRPr="00CB2647" w:rsidRDefault="002A1FC7" w:rsidP="002A1FC7">
      <w:pPr>
        <w:spacing w:line="240" w:lineRule="auto"/>
        <w:ind w:left="426" w:hanging="426"/>
      </w:pPr>
    </w:p>
    <w:p w:rsidR="009F610C" w:rsidRPr="00CB2647" w:rsidRDefault="00330D68" w:rsidP="002A1FC7">
      <w:pPr>
        <w:spacing w:line="240" w:lineRule="auto"/>
        <w:ind w:left="426" w:hanging="426"/>
      </w:pPr>
      <w:r w:rsidRPr="00CB2647">
        <w:t>65</w:t>
      </w:r>
      <w:r w:rsidR="009F610C" w:rsidRPr="00CB2647">
        <w:t>. Wilhelm W,Hammadeh ME,</w:t>
      </w:r>
      <w:r w:rsidR="00C32620">
        <w:t xml:space="preserve"> </w:t>
      </w:r>
      <w:r w:rsidR="009F610C" w:rsidRPr="00CB2647">
        <w:t>White PF.</w:t>
      </w:r>
      <w:r w:rsidR="00C32620">
        <w:t xml:space="preserve"> </w:t>
      </w:r>
      <w:r w:rsidR="009F610C" w:rsidRPr="00CB2647">
        <w:t>General anesthesia versus monitored anesthesia care with remifentanil for assisted reproductive Technologies:</w:t>
      </w:r>
      <w:r w:rsidR="00C32620">
        <w:t xml:space="preserve"> </w:t>
      </w:r>
      <w:r w:rsidR="009F610C" w:rsidRPr="00CB2647">
        <w:t>effect on pregnancy rate.</w:t>
      </w:r>
      <w:r w:rsidR="00C32620">
        <w:t xml:space="preserve"> </w:t>
      </w:r>
      <w:r w:rsidR="009F610C" w:rsidRPr="00CB2647">
        <w:t>J Clin Anesth14:1-5</w:t>
      </w:r>
      <w:r w:rsidR="00834A48">
        <w:t xml:space="preserve">, </w:t>
      </w:r>
      <w:r w:rsidR="00834A48" w:rsidRPr="00CB2647">
        <w:t>2002</w:t>
      </w:r>
      <w:r w:rsidR="00B066B3" w:rsidRPr="00CB2647">
        <w:t>.</w:t>
      </w:r>
    </w:p>
    <w:p w:rsidR="002A1FC7" w:rsidRPr="00CB2647" w:rsidRDefault="002A1FC7" w:rsidP="002A1FC7">
      <w:pPr>
        <w:spacing w:line="240" w:lineRule="auto"/>
        <w:ind w:left="426" w:hanging="426"/>
      </w:pPr>
    </w:p>
    <w:p w:rsidR="009F610C" w:rsidRPr="00CB2647" w:rsidRDefault="00330D68" w:rsidP="002A1FC7">
      <w:pPr>
        <w:spacing w:line="240" w:lineRule="auto"/>
        <w:ind w:left="426" w:hanging="426"/>
      </w:pPr>
      <w:r w:rsidRPr="00CB2647">
        <w:t>66</w:t>
      </w:r>
      <w:r w:rsidR="009F610C" w:rsidRPr="00CB2647">
        <w:t>. Schnell VL,</w:t>
      </w:r>
      <w:r w:rsidR="00C32620">
        <w:t xml:space="preserve"> </w:t>
      </w:r>
      <w:r w:rsidR="009F610C" w:rsidRPr="00CB2647">
        <w:t>Sacco AG,</w:t>
      </w:r>
      <w:r w:rsidR="00C32620">
        <w:t xml:space="preserve"> </w:t>
      </w:r>
      <w:r w:rsidR="009F610C" w:rsidRPr="00CB2647">
        <w:t>Savoy-Moore RT.</w:t>
      </w:r>
      <w:r w:rsidR="00C32620">
        <w:t xml:space="preserve"> </w:t>
      </w:r>
      <w:r w:rsidR="009F610C" w:rsidRPr="00CB2647">
        <w:t xml:space="preserve">Effects of oocyte </w:t>
      </w:r>
      <w:r w:rsidR="007D7D38" w:rsidRPr="00CB2647">
        <w:t xml:space="preserve">exposure </w:t>
      </w:r>
      <w:r w:rsidR="009F610C" w:rsidRPr="00CB2647">
        <w:t>to local anesthetics on in vitro</w:t>
      </w:r>
      <w:r w:rsidR="00B066B3" w:rsidRPr="00CB2647">
        <w:t xml:space="preserve"> ferrtilization and embryo development in the Mouse. Rep</w:t>
      </w:r>
      <w:r w:rsidR="002A078A" w:rsidRPr="00CB2647">
        <w:t xml:space="preserve">rod </w:t>
      </w:r>
      <w:r w:rsidR="00B066B3" w:rsidRPr="00CB2647">
        <w:t>Toxicol6:323-327</w:t>
      </w:r>
      <w:r w:rsidR="00834A48">
        <w:t xml:space="preserve">, </w:t>
      </w:r>
      <w:r w:rsidR="00834A48" w:rsidRPr="00CB2647">
        <w:t>1992</w:t>
      </w:r>
      <w:r w:rsidR="00B066B3" w:rsidRPr="00CB2647">
        <w:t>.</w:t>
      </w:r>
    </w:p>
    <w:p w:rsidR="002A1FC7" w:rsidRPr="00CB2647" w:rsidRDefault="002A1FC7" w:rsidP="002A1FC7">
      <w:pPr>
        <w:spacing w:line="240" w:lineRule="auto"/>
        <w:ind w:left="426" w:hanging="426"/>
      </w:pPr>
    </w:p>
    <w:p w:rsidR="00B066B3" w:rsidRPr="00CB2647" w:rsidRDefault="00330D68" w:rsidP="002A1FC7">
      <w:pPr>
        <w:spacing w:line="240" w:lineRule="auto"/>
        <w:ind w:left="426" w:hanging="426"/>
      </w:pPr>
      <w:r w:rsidRPr="00CB2647">
        <w:t>67</w:t>
      </w:r>
      <w:r w:rsidR="00B066B3" w:rsidRPr="00CB2647">
        <w:t>. Ditkoff EC,</w:t>
      </w:r>
      <w:r w:rsidR="00C32620">
        <w:t xml:space="preserve"> </w:t>
      </w:r>
      <w:r w:rsidR="00B066B3" w:rsidRPr="00CB2647">
        <w:t>Plumb J,Selick A,Sauer MV.</w:t>
      </w:r>
      <w:r w:rsidR="00C32620">
        <w:t xml:space="preserve"> </w:t>
      </w:r>
      <w:r w:rsidR="00B066B3" w:rsidRPr="00CB2647">
        <w:t>Anesthesia practices in the United States common to in vitro fertilization (İVF) centers. J Assist Reprod Genet14(3):145-147</w:t>
      </w:r>
      <w:r w:rsidR="00834A48">
        <w:t xml:space="preserve">, </w:t>
      </w:r>
      <w:r w:rsidR="00834A48" w:rsidRPr="00CB2647">
        <w:t>1997</w:t>
      </w:r>
      <w:r w:rsidR="00B066B3" w:rsidRPr="00CB2647">
        <w:t>.</w:t>
      </w:r>
    </w:p>
    <w:p w:rsidR="002A1FC7" w:rsidRPr="00CB2647" w:rsidRDefault="002A1FC7" w:rsidP="002A1FC7">
      <w:pPr>
        <w:spacing w:line="240" w:lineRule="auto"/>
        <w:ind w:left="426" w:hanging="426"/>
      </w:pPr>
    </w:p>
    <w:p w:rsidR="005C533B" w:rsidRPr="00CB2647" w:rsidRDefault="00330D68" w:rsidP="002A1FC7">
      <w:pPr>
        <w:spacing w:line="240" w:lineRule="auto"/>
        <w:ind w:left="426" w:hanging="426"/>
      </w:pPr>
      <w:r w:rsidRPr="00CB2647">
        <w:t>68</w:t>
      </w:r>
      <w:r w:rsidR="005C533B" w:rsidRPr="00CB2647">
        <w:t>.Ben-Shlomo I,Moskovich R,Katz Y</w:t>
      </w:r>
      <w:r w:rsidR="00787D57">
        <w:t xml:space="preserve">, </w:t>
      </w:r>
      <w:r w:rsidR="005C533B" w:rsidRPr="00CB2647">
        <w:t>Shalev E.Midazolam/ketamine sedative combination compared with fentanyl/propofol/isoflurane anesthesia for oocyte retrieval.</w:t>
      </w:r>
      <w:r w:rsidR="00C32620">
        <w:t xml:space="preserve"> </w:t>
      </w:r>
      <w:r w:rsidR="005C533B" w:rsidRPr="00CB2647">
        <w:t>Hum Reprod14:1757-1759</w:t>
      </w:r>
      <w:r w:rsidR="00787D57">
        <w:t xml:space="preserve">, </w:t>
      </w:r>
      <w:r w:rsidR="00787D57" w:rsidRPr="00CB2647">
        <w:t>1999</w:t>
      </w:r>
      <w:r w:rsidR="005C533B" w:rsidRPr="00CB2647">
        <w:t>.</w:t>
      </w:r>
    </w:p>
    <w:p w:rsidR="002A1FC7" w:rsidRPr="00CB2647" w:rsidRDefault="002A1FC7" w:rsidP="002A1FC7">
      <w:pPr>
        <w:spacing w:line="240" w:lineRule="auto"/>
        <w:ind w:left="426" w:hanging="426"/>
      </w:pPr>
    </w:p>
    <w:p w:rsidR="005C533B" w:rsidRPr="00CB2647" w:rsidRDefault="00330D68" w:rsidP="002A1FC7">
      <w:pPr>
        <w:spacing w:line="240" w:lineRule="auto"/>
        <w:ind w:left="426" w:hanging="426"/>
      </w:pPr>
      <w:r w:rsidRPr="00CB2647">
        <w:t>69</w:t>
      </w:r>
      <w:r w:rsidR="005C533B" w:rsidRPr="00CB2647">
        <w:t>.El Hussein E,Balen AH,</w:t>
      </w:r>
      <w:r w:rsidR="00C32620">
        <w:t xml:space="preserve"> </w:t>
      </w:r>
      <w:r w:rsidR="005C533B" w:rsidRPr="00CB2647">
        <w:t xml:space="preserve">Tan SL.A prospective study comparing the outcome of oocytes retrieved in the aspirate with those retrieved in the flush during transvaginal ultrasound directed oocyte recovery for in </w:t>
      </w:r>
      <w:r w:rsidR="001B4EA7" w:rsidRPr="00CB2647">
        <w:t>–</w:t>
      </w:r>
      <w:r w:rsidR="005C533B" w:rsidRPr="00CB2647">
        <w:t>vitro</w:t>
      </w:r>
      <w:r w:rsidR="001B4EA7" w:rsidRPr="00CB2647">
        <w:t xml:space="preserve"> fertilization.Br J Obstet Gynaecol99:841-4</w:t>
      </w:r>
      <w:r w:rsidR="00787D57">
        <w:t xml:space="preserve">, </w:t>
      </w:r>
      <w:r w:rsidR="00787D57" w:rsidRPr="00CB2647">
        <w:t>1992</w:t>
      </w:r>
      <w:r w:rsidR="00787D57">
        <w:t>.</w:t>
      </w:r>
    </w:p>
    <w:p w:rsidR="002A1FC7" w:rsidRPr="00CB2647" w:rsidRDefault="002A1FC7" w:rsidP="002A1FC7">
      <w:pPr>
        <w:spacing w:line="240" w:lineRule="auto"/>
        <w:ind w:left="426" w:hanging="426"/>
      </w:pPr>
    </w:p>
    <w:p w:rsidR="001B4EA7" w:rsidRPr="00CB2647" w:rsidRDefault="00330D68" w:rsidP="002A1FC7">
      <w:pPr>
        <w:spacing w:line="240" w:lineRule="auto"/>
        <w:ind w:left="426" w:hanging="426"/>
      </w:pPr>
      <w:r w:rsidRPr="00CB2647">
        <w:t>70</w:t>
      </w:r>
      <w:r w:rsidR="001B4EA7" w:rsidRPr="00CB2647">
        <w:t>.Wongtra-Ngan S,Vutyavanich</w:t>
      </w:r>
      <w:r w:rsidR="007D7D38" w:rsidRPr="00CB2647">
        <w:t xml:space="preserve"> T,Brown J.Follicular flushing </w:t>
      </w:r>
      <w:r w:rsidR="001B4EA7" w:rsidRPr="00CB2647">
        <w:t>duri</w:t>
      </w:r>
      <w:r w:rsidR="007D7D38" w:rsidRPr="00CB2647">
        <w:t xml:space="preserve">ng oocyte retrieval in assisted reproductive </w:t>
      </w:r>
      <w:r w:rsidR="002A078A" w:rsidRPr="00CB2647">
        <w:t>techniques</w:t>
      </w:r>
      <w:r w:rsidR="001B4EA7" w:rsidRPr="00CB2647">
        <w:t xml:space="preserve">. </w:t>
      </w:r>
      <w:r w:rsidR="007D7D38" w:rsidRPr="00CB2647">
        <w:t xml:space="preserve">Cochrane Database Syst </w:t>
      </w:r>
      <w:r w:rsidR="001B4EA7" w:rsidRPr="00CB2647">
        <w:t>Rev(9)</w:t>
      </w:r>
      <w:r w:rsidR="00787D57" w:rsidRPr="00CB2647">
        <w:t>2010</w:t>
      </w:r>
      <w:r w:rsidR="00787D57">
        <w:t>.</w:t>
      </w:r>
    </w:p>
    <w:p w:rsidR="002A1FC7" w:rsidRPr="00CB2647" w:rsidRDefault="002A1FC7" w:rsidP="002A1FC7">
      <w:pPr>
        <w:spacing w:line="240" w:lineRule="auto"/>
        <w:ind w:left="426" w:hanging="426"/>
      </w:pPr>
    </w:p>
    <w:p w:rsidR="001B4EA7" w:rsidRPr="00CB2647" w:rsidRDefault="00330D68" w:rsidP="002A1FC7">
      <w:pPr>
        <w:spacing w:line="240" w:lineRule="auto"/>
        <w:ind w:left="426" w:hanging="426"/>
      </w:pPr>
      <w:r w:rsidRPr="00CB2647">
        <w:t>71</w:t>
      </w:r>
      <w:r w:rsidR="001B4EA7" w:rsidRPr="00CB2647">
        <w:t>.Haydardedeoğlu B,Cok T,</w:t>
      </w:r>
      <w:r w:rsidR="007D7D38" w:rsidRPr="00CB2647">
        <w:t xml:space="preserve"> Kilicdag </w:t>
      </w:r>
      <w:r w:rsidR="001B4EA7" w:rsidRPr="00CB2647">
        <w:t>EB, Parlakgumus AH,</w:t>
      </w:r>
      <w:r w:rsidR="00C32620">
        <w:t xml:space="preserve"> </w:t>
      </w:r>
      <w:r w:rsidR="001B4EA7" w:rsidRPr="00CB2647">
        <w:t>Simsek E,Bagıs T.İn vitro fertilization –intrasytoplasmic sperm injection outcomes in single</w:t>
      </w:r>
      <w:r w:rsidR="00787D57">
        <w:t>-</w:t>
      </w:r>
      <w:r w:rsidR="001B4EA7" w:rsidRPr="00CB2647">
        <w:t>versus double-lumen oocyte retrieval needles in normally responding patients:</w:t>
      </w:r>
      <w:r w:rsidR="00C32620">
        <w:t xml:space="preserve"> </w:t>
      </w:r>
      <w:r w:rsidR="001B4EA7" w:rsidRPr="00CB2647">
        <w:t>a randomized trial.Fertil Steril95(2):812-4</w:t>
      </w:r>
      <w:r w:rsidR="00787D57">
        <w:t xml:space="preserve">, </w:t>
      </w:r>
      <w:r w:rsidR="00787D57" w:rsidRPr="00CB2647">
        <w:t>2011</w:t>
      </w:r>
      <w:r w:rsidR="001B4EA7" w:rsidRPr="00CB2647">
        <w:t>.</w:t>
      </w:r>
    </w:p>
    <w:p w:rsidR="002A1FC7" w:rsidRPr="00CB2647" w:rsidRDefault="002A1FC7" w:rsidP="002A1FC7">
      <w:pPr>
        <w:spacing w:line="240" w:lineRule="auto"/>
        <w:ind w:left="426" w:hanging="426"/>
      </w:pPr>
    </w:p>
    <w:p w:rsidR="001B4EA7" w:rsidRPr="00CB2647" w:rsidRDefault="00330D68" w:rsidP="002A1FC7">
      <w:pPr>
        <w:spacing w:line="240" w:lineRule="auto"/>
        <w:ind w:left="426" w:hanging="426"/>
      </w:pPr>
      <w:r w:rsidRPr="00CB2647">
        <w:t>72</w:t>
      </w:r>
      <w:r w:rsidR="001B4EA7" w:rsidRPr="00CB2647">
        <w:t>.</w:t>
      </w:r>
      <w:r w:rsidR="00413FF3" w:rsidRPr="00CB2647">
        <w:t xml:space="preserve">Van Os </w:t>
      </w:r>
      <w:r w:rsidR="000652D1" w:rsidRPr="00CB2647">
        <w:t>HC,</w:t>
      </w:r>
      <w:r w:rsidR="00C32620">
        <w:t xml:space="preserve"> </w:t>
      </w:r>
      <w:r w:rsidR="000652D1" w:rsidRPr="00CB2647">
        <w:t>Roozenburg BJ,</w:t>
      </w:r>
      <w:r w:rsidR="00C32620">
        <w:t xml:space="preserve"> </w:t>
      </w:r>
      <w:r w:rsidR="000652D1" w:rsidRPr="00CB2647">
        <w:t>Janssen-Caspers HA,</w:t>
      </w:r>
      <w:r w:rsidR="00C32620">
        <w:t xml:space="preserve"> </w:t>
      </w:r>
      <w:r w:rsidR="000652D1" w:rsidRPr="00CB2647">
        <w:t>Leerentveld RA,Scholtes MC,Zeilmaker GH,Alberda AT.Vaginal disinfection with povidon iod</w:t>
      </w:r>
      <w:r w:rsidR="00413FF3" w:rsidRPr="00CB2647">
        <w:t xml:space="preserve">ine and the outcome of in-vitro </w:t>
      </w:r>
      <w:r w:rsidR="000652D1" w:rsidRPr="00CB2647">
        <w:t>fertilization.Hum Reprod7:349-50</w:t>
      </w:r>
      <w:r w:rsidR="00787D57">
        <w:t xml:space="preserve">, </w:t>
      </w:r>
      <w:r w:rsidR="00787D57" w:rsidRPr="00CB2647">
        <w:t>1992</w:t>
      </w:r>
      <w:r w:rsidR="00787D57">
        <w:t>.</w:t>
      </w:r>
    </w:p>
    <w:p w:rsidR="002A1FC7" w:rsidRPr="00CB2647" w:rsidRDefault="002A1FC7" w:rsidP="002A1FC7">
      <w:pPr>
        <w:spacing w:line="240" w:lineRule="auto"/>
        <w:ind w:left="426" w:hanging="426"/>
      </w:pPr>
    </w:p>
    <w:p w:rsidR="000652D1" w:rsidRPr="00CB2647" w:rsidRDefault="00330D68" w:rsidP="002A1FC7">
      <w:pPr>
        <w:spacing w:line="240" w:lineRule="auto"/>
        <w:ind w:left="426" w:hanging="426"/>
      </w:pPr>
      <w:r w:rsidRPr="00CB2647">
        <w:t>73</w:t>
      </w:r>
      <w:r w:rsidR="000652D1" w:rsidRPr="00CB2647">
        <w:t>.Haydardedeoğlu B,Oktem M.Yumurta Toplama ve Embriyo Transferi</w:t>
      </w:r>
      <w:r w:rsidR="00E76921" w:rsidRPr="00CB2647">
        <w:t xml:space="preserve"> Komplikasyonları (YÜT Teknikleri basım aşamasında).</w:t>
      </w:r>
    </w:p>
    <w:p w:rsidR="000652D1" w:rsidRPr="00CB2647" w:rsidRDefault="00330D68" w:rsidP="002A1FC7">
      <w:pPr>
        <w:spacing w:line="240" w:lineRule="auto"/>
        <w:ind w:left="426" w:hanging="426"/>
      </w:pPr>
      <w:r w:rsidRPr="00CB2647">
        <w:t>74</w:t>
      </w:r>
      <w:r w:rsidR="000652D1" w:rsidRPr="00CB2647">
        <w:t>.Bentov Y,Levitas E,Silberstein T,Potashnik G.Cullen’s sign following ultrasound-guided transvaginal oocyte retrieval.</w:t>
      </w:r>
      <w:r w:rsidR="00C32620">
        <w:t xml:space="preserve"> </w:t>
      </w:r>
      <w:r w:rsidR="000652D1" w:rsidRPr="00CB2647">
        <w:t>Fertil Steril85:227</w:t>
      </w:r>
      <w:r w:rsidR="00787D57">
        <w:t xml:space="preserve">, </w:t>
      </w:r>
      <w:r w:rsidR="00787D57" w:rsidRPr="00CB2647">
        <w:t>2006</w:t>
      </w:r>
      <w:r w:rsidR="00787D57">
        <w:t>.</w:t>
      </w:r>
    </w:p>
    <w:p w:rsidR="002A1FC7" w:rsidRPr="00CB2647" w:rsidRDefault="002A1FC7" w:rsidP="002A1FC7">
      <w:pPr>
        <w:spacing w:line="240" w:lineRule="auto"/>
        <w:ind w:left="426" w:hanging="426"/>
      </w:pPr>
    </w:p>
    <w:p w:rsidR="0032450A" w:rsidRPr="00CB2647" w:rsidRDefault="00330D68" w:rsidP="002A1FC7">
      <w:pPr>
        <w:spacing w:line="240" w:lineRule="auto"/>
        <w:ind w:left="426" w:hanging="426"/>
      </w:pPr>
      <w:r w:rsidRPr="00CB2647">
        <w:t>75</w:t>
      </w:r>
      <w:r w:rsidR="0032450A" w:rsidRPr="00CB2647">
        <w:t>.Ashkenazi J,Farhi J,Dicker D,Feldberg D,Shalev J,Ben-Rafael Z.Acute</w:t>
      </w:r>
      <w:r w:rsidRPr="00CB2647">
        <w:t xml:space="preserve">pelvic inflammatory </w:t>
      </w:r>
      <w:r w:rsidR="0032450A" w:rsidRPr="00CB2647">
        <w:t>disease after oocyte retrieval:</w:t>
      </w:r>
      <w:r w:rsidR="00C32620">
        <w:t xml:space="preserve"> </w:t>
      </w:r>
      <w:r w:rsidR="0032450A" w:rsidRPr="00CB2647">
        <w:t>adverse effects on the results of implantation.Fertil Steril61:526-8</w:t>
      </w:r>
      <w:r w:rsidR="00787D57">
        <w:t xml:space="preserve">, </w:t>
      </w:r>
      <w:r w:rsidR="00787D57" w:rsidRPr="00CB2647">
        <w:t>1994</w:t>
      </w:r>
      <w:r w:rsidR="0032450A" w:rsidRPr="00CB2647">
        <w:t>.</w:t>
      </w:r>
    </w:p>
    <w:p w:rsidR="002A1FC7" w:rsidRPr="00CB2647" w:rsidRDefault="002A1FC7" w:rsidP="002A1FC7">
      <w:pPr>
        <w:spacing w:line="240" w:lineRule="auto"/>
        <w:ind w:left="426" w:hanging="426"/>
      </w:pPr>
    </w:p>
    <w:p w:rsidR="002A078A" w:rsidRPr="00CB2647" w:rsidRDefault="00330D68" w:rsidP="002A1FC7">
      <w:pPr>
        <w:spacing w:line="240" w:lineRule="auto"/>
        <w:ind w:left="426" w:hanging="426"/>
      </w:pPr>
      <w:r w:rsidRPr="00CB2647">
        <w:t>76</w:t>
      </w:r>
      <w:r w:rsidR="002A078A" w:rsidRPr="00CB2647">
        <w:t>.</w:t>
      </w:r>
      <w:r w:rsidR="003646D7" w:rsidRPr="00CB2647">
        <w:t>Sasamato Y, Sakaguchi M, Katagiri S, Yamada Y, Takahashi Y. The effects of twisting and type of aspiration needle on the efficiency of transvaginal ultrasound</w:t>
      </w:r>
      <w:r w:rsidR="00413FF3" w:rsidRPr="00CB2647">
        <w:t xml:space="preserve">-guided ovum pick-up in cattle. </w:t>
      </w:r>
      <w:r w:rsidR="003646D7" w:rsidRPr="00CB2647">
        <w:t>J Vet Med Sci 65(10):1083-6</w:t>
      </w:r>
      <w:r w:rsidR="00787D57">
        <w:t xml:space="preserve">, </w:t>
      </w:r>
      <w:r w:rsidR="00787D57" w:rsidRPr="00CB2647">
        <w:t>2003</w:t>
      </w:r>
      <w:r w:rsidR="003646D7" w:rsidRPr="00CB2647">
        <w:t>.</w:t>
      </w:r>
    </w:p>
    <w:p w:rsidR="002A1FC7" w:rsidRPr="00CB2647" w:rsidRDefault="002A1FC7" w:rsidP="002A1FC7">
      <w:pPr>
        <w:spacing w:line="240" w:lineRule="auto"/>
        <w:ind w:left="426" w:hanging="426"/>
      </w:pPr>
    </w:p>
    <w:p w:rsidR="003646D7" w:rsidRPr="00CB2647" w:rsidRDefault="00330D68" w:rsidP="002A1FC7">
      <w:pPr>
        <w:spacing w:line="240" w:lineRule="auto"/>
        <w:ind w:left="426" w:hanging="426"/>
      </w:pPr>
      <w:r w:rsidRPr="00CB2647">
        <w:t>77</w:t>
      </w:r>
      <w:r w:rsidR="003646D7" w:rsidRPr="00CB2647">
        <w:t>.Levy G, Hill MJ, Ramirez Cl, Correa L, Ryan ME, DeCherney AH, Levens ED, Whitcomb BW. The use of follicle flushing during oocyte retrieval in assisted reproductive Technologies: a systematic review and meta-analysis. Hum Reprod27:2373-2379</w:t>
      </w:r>
      <w:r w:rsidR="00787D57">
        <w:t xml:space="preserve">, </w:t>
      </w:r>
      <w:r w:rsidR="00787D57" w:rsidRPr="00CB2647">
        <w:t>2012</w:t>
      </w:r>
      <w:r w:rsidR="003646D7" w:rsidRPr="00CB2647">
        <w:t>.</w:t>
      </w:r>
    </w:p>
    <w:p w:rsidR="002A1FC7" w:rsidRPr="00CB2647" w:rsidRDefault="002A1FC7" w:rsidP="002A1FC7">
      <w:pPr>
        <w:spacing w:line="240" w:lineRule="auto"/>
        <w:ind w:left="426" w:hanging="426"/>
      </w:pPr>
    </w:p>
    <w:p w:rsidR="003646D7" w:rsidRPr="00CB2647" w:rsidRDefault="00330D68" w:rsidP="002A1FC7">
      <w:pPr>
        <w:spacing w:line="240" w:lineRule="auto"/>
        <w:ind w:left="426" w:hanging="426"/>
      </w:pPr>
      <w:r w:rsidRPr="00CB2647">
        <w:t>78</w:t>
      </w:r>
      <w:r w:rsidR="00F56BF9" w:rsidRPr="00CB2647">
        <w:t>.</w:t>
      </w:r>
      <w:r w:rsidR="0046506B" w:rsidRPr="00CB2647">
        <w:t>Mok-Lin E,Brauer AA, Schattman G, Zaninovic N, Rosenwaks Z,Spandorfer S.Follicular flushing and in vitro fertilization outcomes in the poorest responders: a randomized conrolled trial. Hum Reprod28:2990-2995</w:t>
      </w:r>
      <w:r w:rsidR="00787D57">
        <w:t xml:space="preserve">, </w:t>
      </w:r>
      <w:r w:rsidR="00787D57" w:rsidRPr="00CB2647">
        <w:t>2013</w:t>
      </w:r>
      <w:r w:rsidR="0046506B" w:rsidRPr="00CB2647">
        <w:t>.</w:t>
      </w:r>
    </w:p>
    <w:p w:rsidR="002A1FC7" w:rsidRPr="00CB2647" w:rsidRDefault="002A1FC7" w:rsidP="002A1FC7">
      <w:pPr>
        <w:spacing w:line="240" w:lineRule="auto"/>
        <w:ind w:left="426" w:hanging="426"/>
      </w:pPr>
    </w:p>
    <w:p w:rsidR="002A7122" w:rsidRPr="00CB2647" w:rsidRDefault="00330D68" w:rsidP="002A1FC7">
      <w:pPr>
        <w:spacing w:line="240" w:lineRule="auto"/>
        <w:ind w:left="426" w:hanging="426"/>
      </w:pPr>
      <w:r w:rsidRPr="00CB2647">
        <w:t>79</w:t>
      </w:r>
      <w:r w:rsidR="002A7122" w:rsidRPr="00CB2647">
        <w:t>.Lozano DH, Franchin R, Chevalier N, Feyereisen E, Hesters L, Frydman N, Frydman R. Optimis</w:t>
      </w:r>
      <w:r w:rsidR="00413FF3" w:rsidRPr="00CB2647">
        <w:t xml:space="preserve">ing the semi natural cycle İVF: </w:t>
      </w:r>
      <w:r w:rsidR="002A7122" w:rsidRPr="00CB2647">
        <w:t>the importance of follicular flushing. J İndian Med Assoc104:423-427</w:t>
      </w:r>
      <w:r w:rsidR="00787D57">
        <w:t xml:space="preserve">, </w:t>
      </w:r>
      <w:r w:rsidR="00787D57" w:rsidRPr="00CB2647">
        <w:t>2006</w:t>
      </w:r>
      <w:r w:rsidR="002A7122" w:rsidRPr="00CB2647">
        <w:t>.</w:t>
      </w:r>
    </w:p>
    <w:p w:rsidR="002A1FC7" w:rsidRPr="00CB2647" w:rsidRDefault="002A1FC7" w:rsidP="002A1FC7">
      <w:pPr>
        <w:spacing w:line="240" w:lineRule="auto"/>
        <w:ind w:left="426" w:hanging="426"/>
      </w:pPr>
    </w:p>
    <w:p w:rsidR="002A7122" w:rsidRDefault="00330D68" w:rsidP="002A1FC7">
      <w:pPr>
        <w:spacing w:line="240" w:lineRule="auto"/>
        <w:ind w:left="426" w:hanging="426"/>
      </w:pPr>
      <w:r w:rsidRPr="00CB2647">
        <w:t>8</w:t>
      </w:r>
      <w:r w:rsidR="00F56BF9" w:rsidRPr="00CB2647">
        <w:t>0</w:t>
      </w:r>
      <w:r w:rsidR="002A7122" w:rsidRPr="00CB2647">
        <w:t xml:space="preserve">.Mendez Lozano DH, Brum Scheffer J,Frydman N, Fay S, Fanchin R, FRydman R. Optimal reproductive competence of oocytes retrieved through follicular flushing in minimal stimulation </w:t>
      </w:r>
      <w:r w:rsidR="00E16837" w:rsidRPr="00CB2647">
        <w:t>İVF, Reprod Biomed Online16:119-123</w:t>
      </w:r>
      <w:r w:rsidR="00787D57">
        <w:t xml:space="preserve">, </w:t>
      </w:r>
      <w:r w:rsidR="00787D57" w:rsidRPr="00CB2647">
        <w:t>2008</w:t>
      </w:r>
      <w:r w:rsidR="00E16837" w:rsidRPr="00CB2647">
        <w:t>.</w:t>
      </w:r>
    </w:p>
    <w:p w:rsidR="00787D57" w:rsidRDefault="00787D57" w:rsidP="00394512"/>
    <w:p w:rsidR="00787D57" w:rsidRDefault="00787D57" w:rsidP="00394512"/>
    <w:p w:rsidR="00787D57" w:rsidRDefault="00787D57" w:rsidP="00394512"/>
    <w:p w:rsidR="00787D57" w:rsidRPr="00CB2647" w:rsidRDefault="00787D57" w:rsidP="00394512"/>
    <w:sectPr w:rsidR="00787D57" w:rsidRPr="00CB2647" w:rsidSect="007A105C">
      <w:pgSz w:w="11906" w:h="16838"/>
      <w:pgMar w:top="1418" w:right="1418" w:bottom="1418" w:left="1701" w:header="850" w:footer="850" w:gutter="284"/>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9735A" w:rsidRDefault="0069735A" w:rsidP="00A83C91">
      <w:pPr>
        <w:spacing w:line="240" w:lineRule="auto"/>
      </w:pPr>
      <w:r>
        <w:separator/>
      </w:r>
    </w:p>
  </w:endnote>
  <w:endnote w:type="continuationSeparator" w:id="1">
    <w:p w:rsidR="0069735A" w:rsidRDefault="0069735A" w:rsidP="00A83C91">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2"/>
    <w:family w:val="roman"/>
    <w:pitch w:val="variable"/>
    <w:sig w:usb0="E0002AFF" w:usb1="C0007841" w:usb2="00000009" w:usb3="00000000" w:csb0="000001FF" w:csb1="00000000"/>
  </w:font>
  <w:font w:name="Calibri">
    <w:panose1 w:val="020F0502020204030204"/>
    <w:charset w:val="A2"/>
    <w:family w:val="swiss"/>
    <w:pitch w:val="variable"/>
    <w:sig w:usb0="E00002FF" w:usb1="4000ACFF" w:usb2="00000001" w:usb3="00000000" w:csb0="0000019F" w:csb1="00000000"/>
  </w:font>
  <w:font w:name="Tahoma">
    <w:panose1 w:val="020B0604030504040204"/>
    <w:charset w:val="A2"/>
    <w:family w:val="swiss"/>
    <w:pitch w:val="variable"/>
    <w:sig w:usb0="E1002EFF" w:usb1="C000605B" w:usb2="00000029" w:usb3="00000000" w:csb0="000101FF" w:csb1="00000000"/>
  </w:font>
  <w:font w:name="Cambria">
    <w:panose1 w:val="02040503050406030204"/>
    <w:charset w:val="A2"/>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6159614"/>
      <w:docPartObj>
        <w:docPartGallery w:val="Page Numbers (Bottom of Page)"/>
        <w:docPartUnique/>
      </w:docPartObj>
    </w:sdtPr>
    <w:sdtContent>
      <w:p w:rsidR="00394A27" w:rsidRDefault="00394A27" w:rsidP="007A105C">
        <w:pPr>
          <w:pStyle w:val="Altbilgi"/>
          <w:jc w:val="center"/>
        </w:pPr>
        <w:fldSimple w:instr="PAGE   \* MERGEFORMAT">
          <w:r w:rsidR="00B768A0">
            <w:rPr>
              <w:noProof/>
            </w:rPr>
            <w:t>31</w:t>
          </w:r>
        </w:fldSimple>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9735A" w:rsidRDefault="0069735A" w:rsidP="00A83C91">
      <w:pPr>
        <w:spacing w:line="240" w:lineRule="auto"/>
      </w:pPr>
      <w:r>
        <w:separator/>
      </w:r>
    </w:p>
  </w:footnote>
  <w:footnote w:type="continuationSeparator" w:id="1">
    <w:p w:rsidR="0069735A" w:rsidRDefault="0069735A" w:rsidP="00A83C91">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6259AA"/>
    <w:multiLevelType w:val="hybridMultilevel"/>
    <w:tmpl w:val="EEE8BA28"/>
    <w:lvl w:ilvl="0" w:tplc="B49A002C">
      <w:start w:val="1"/>
      <w:numFmt w:val="low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activeWritingStyle w:appName="MSWord" w:lang="tr-TR" w:vendorID="1" w:dllVersion="512" w:checkStyle="1"/>
  <w:defaultTabStop w:val="708"/>
  <w:hyphenationZone w:val="425"/>
  <w:characterSpacingControl w:val="doNotCompress"/>
  <w:footnotePr>
    <w:footnote w:id="0"/>
    <w:footnote w:id="1"/>
  </w:footnotePr>
  <w:endnotePr>
    <w:endnote w:id="0"/>
    <w:endnote w:id="1"/>
  </w:endnotePr>
  <w:compat>
    <w:useFELayout/>
  </w:compat>
  <w:rsids>
    <w:rsidRoot w:val="00241184"/>
    <w:rsid w:val="000029CF"/>
    <w:rsid w:val="00002A0A"/>
    <w:rsid w:val="00010B2F"/>
    <w:rsid w:val="00011702"/>
    <w:rsid w:val="00012E54"/>
    <w:rsid w:val="00014124"/>
    <w:rsid w:val="000148A8"/>
    <w:rsid w:val="00016253"/>
    <w:rsid w:val="00024B65"/>
    <w:rsid w:val="00027881"/>
    <w:rsid w:val="000447A5"/>
    <w:rsid w:val="00046F64"/>
    <w:rsid w:val="00047054"/>
    <w:rsid w:val="000476D2"/>
    <w:rsid w:val="00052FC1"/>
    <w:rsid w:val="00053BA6"/>
    <w:rsid w:val="00055D98"/>
    <w:rsid w:val="000652D1"/>
    <w:rsid w:val="000772CE"/>
    <w:rsid w:val="00082CC1"/>
    <w:rsid w:val="0008783E"/>
    <w:rsid w:val="0009031C"/>
    <w:rsid w:val="00092572"/>
    <w:rsid w:val="000A2BB9"/>
    <w:rsid w:val="000A4A98"/>
    <w:rsid w:val="000B335A"/>
    <w:rsid w:val="000B4D2A"/>
    <w:rsid w:val="000D1880"/>
    <w:rsid w:val="000D3F0E"/>
    <w:rsid w:val="000E02EC"/>
    <w:rsid w:val="000E1466"/>
    <w:rsid w:val="000E17F3"/>
    <w:rsid w:val="000F6A77"/>
    <w:rsid w:val="000F79A4"/>
    <w:rsid w:val="00104FAB"/>
    <w:rsid w:val="00105291"/>
    <w:rsid w:val="00105942"/>
    <w:rsid w:val="00116474"/>
    <w:rsid w:val="00117628"/>
    <w:rsid w:val="001264BC"/>
    <w:rsid w:val="00133853"/>
    <w:rsid w:val="001355DD"/>
    <w:rsid w:val="001358F1"/>
    <w:rsid w:val="0014140A"/>
    <w:rsid w:val="00147193"/>
    <w:rsid w:val="001500C9"/>
    <w:rsid w:val="00150166"/>
    <w:rsid w:val="001513A2"/>
    <w:rsid w:val="00151538"/>
    <w:rsid w:val="00152139"/>
    <w:rsid w:val="001532B3"/>
    <w:rsid w:val="00153480"/>
    <w:rsid w:val="00155CF4"/>
    <w:rsid w:val="00161E21"/>
    <w:rsid w:val="00167AF7"/>
    <w:rsid w:val="001808CE"/>
    <w:rsid w:val="00181EEB"/>
    <w:rsid w:val="001827CE"/>
    <w:rsid w:val="00182ED7"/>
    <w:rsid w:val="001838EC"/>
    <w:rsid w:val="0019295A"/>
    <w:rsid w:val="00195865"/>
    <w:rsid w:val="001964DE"/>
    <w:rsid w:val="001A300D"/>
    <w:rsid w:val="001A37CF"/>
    <w:rsid w:val="001A59F4"/>
    <w:rsid w:val="001A73E6"/>
    <w:rsid w:val="001B4EA7"/>
    <w:rsid w:val="001B71C8"/>
    <w:rsid w:val="001B7D91"/>
    <w:rsid w:val="001B7E5A"/>
    <w:rsid w:val="001C3249"/>
    <w:rsid w:val="001C6AE0"/>
    <w:rsid w:val="001D3245"/>
    <w:rsid w:val="001D3EFA"/>
    <w:rsid w:val="001D645F"/>
    <w:rsid w:val="001E03EB"/>
    <w:rsid w:val="001E2A0C"/>
    <w:rsid w:val="001E44FB"/>
    <w:rsid w:val="001E6AD9"/>
    <w:rsid w:val="001F5204"/>
    <w:rsid w:val="001F58E1"/>
    <w:rsid w:val="001F61D9"/>
    <w:rsid w:val="002070CF"/>
    <w:rsid w:val="00217587"/>
    <w:rsid w:val="002179F8"/>
    <w:rsid w:val="00223015"/>
    <w:rsid w:val="00224EFC"/>
    <w:rsid w:val="0022582E"/>
    <w:rsid w:val="002331FB"/>
    <w:rsid w:val="00236556"/>
    <w:rsid w:val="00240D85"/>
    <w:rsid w:val="00241184"/>
    <w:rsid w:val="00243531"/>
    <w:rsid w:val="00243742"/>
    <w:rsid w:val="00244248"/>
    <w:rsid w:val="00244B1B"/>
    <w:rsid w:val="00256E04"/>
    <w:rsid w:val="00263A17"/>
    <w:rsid w:val="00271424"/>
    <w:rsid w:val="00273966"/>
    <w:rsid w:val="00275A63"/>
    <w:rsid w:val="00275B40"/>
    <w:rsid w:val="00280D5F"/>
    <w:rsid w:val="00280FD0"/>
    <w:rsid w:val="002832B7"/>
    <w:rsid w:val="00286637"/>
    <w:rsid w:val="00290466"/>
    <w:rsid w:val="00292C10"/>
    <w:rsid w:val="002A078A"/>
    <w:rsid w:val="002A0AB1"/>
    <w:rsid w:val="002A1FC7"/>
    <w:rsid w:val="002A3D23"/>
    <w:rsid w:val="002A3F67"/>
    <w:rsid w:val="002A4B8E"/>
    <w:rsid w:val="002A5EAB"/>
    <w:rsid w:val="002A6579"/>
    <w:rsid w:val="002A6A69"/>
    <w:rsid w:val="002A7122"/>
    <w:rsid w:val="002B0AD7"/>
    <w:rsid w:val="002B3D47"/>
    <w:rsid w:val="002B55C8"/>
    <w:rsid w:val="002B5EB5"/>
    <w:rsid w:val="002B7880"/>
    <w:rsid w:val="002C5E2C"/>
    <w:rsid w:val="002C7F2A"/>
    <w:rsid w:val="002D0594"/>
    <w:rsid w:val="002F54D2"/>
    <w:rsid w:val="00301312"/>
    <w:rsid w:val="00301DA3"/>
    <w:rsid w:val="003024F3"/>
    <w:rsid w:val="00305F3B"/>
    <w:rsid w:val="00310E19"/>
    <w:rsid w:val="003154F4"/>
    <w:rsid w:val="0032450A"/>
    <w:rsid w:val="00330D68"/>
    <w:rsid w:val="00331951"/>
    <w:rsid w:val="00340F4D"/>
    <w:rsid w:val="0034477B"/>
    <w:rsid w:val="00346838"/>
    <w:rsid w:val="003508F6"/>
    <w:rsid w:val="00351D44"/>
    <w:rsid w:val="003564C8"/>
    <w:rsid w:val="00357465"/>
    <w:rsid w:val="003646D7"/>
    <w:rsid w:val="0036551D"/>
    <w:rsid w:val="003655E8"/>
    <w:rsid w:val="00370CEB"/>
    <w:rsid w:val="00372093"/>
    <w:rsid w:val="003734E2"/>
    <w:rsid w:val="00377A89"/>
    <w:rsid w:val="00380E9B"/>
    <w:rsid w:val="00383468"/>
    <w:rsid w:val="003842A8"/>
    <w:rsid w:val="00384AFF"/>
    <w:rsid w:val="00386F9D"/>
    <w:rsid w:val="00387D55"/>
    <w:rsid w:val="00393FEE"/>
    <w:rsid w:val="00394512"/>
    <w:rsid w:val="00394A27"/>
    <w:rsid w:val="003A11FC"/>
    <w:rsid w:val="003A5351"/>
    <w:rsid w:val="003B2AE0"/>
    <w:rsid w:val="003B5756"/>
    <w:rsid w:val="003B7439"/>
    <w:rsid w:val="003C391E"/>
    <w:rsid w:val="003D1D8A"/>
    <w:rsid w:val="003D274D"/>
    <w:rsid w:val="003D2A7E"/>
    <w:rsid w:val="003E0BF3"/>
    <w:rsid w:val="003E3F0A"/>
    <w:rsid w:val="003E4194"/>
    <w:rsid w:val="003E41B2"/>
    <w:rsid w:val="003F0DAB"/>
    <w:rsid w:val="003F6FC0"/>
    <w:rsid w:val="00407AB1"/>
    <w:rsid w:val="00411D58"/>
    <w:rsid w:val="00413FF3"/>
    <w:rsid w:val="0041574A"/>
    <w:rsid w:val="00420EAE"/>
    <w:rsid w:val="00422707"/>
    <w:rsid w:val="0042429A"/>
    <w:rsid w:val="0043208B"/>
    <w:rsid w:val="00434387"/>
    <w:rsid w:val="00434C26"/>
    <w:rsid w:val="00437943"/>
    <w:rsid w:val="00440C4C"/>
    <w:rsid w:val="004427A9"/>
    <w:rsid w:val="00445551"/>
    <w:rsid w:val="004557BC"/>
    <w:rsid w:val="00460215"/>
    <w:rsid w:val="00463812"/>
    <w:rsid w:val="00463D48"/>
    <w:rsid w:val="0046506B"/>
    <w:rsid w:val="00470CBC"/>
    <w:rsid w:val="00471BAB"/>
    <w:rsid w:val="004743F0"/>
    <w:rsid w:val="00477DE0"/>
    <w:rsid w:val="00486177"/>
    <w:rsid w:val="00490BFD"/>
    <w:rsid w:val="00490F97"/>
    <w:rsid w:val="00492AD0"/>
    <w:rsid w:val="004A10F1"/>
    <w:rsid w:val="004A1424"/>
    <w:rsid w:val="004A30F3"/>
    <w:rsid w:val="004A3E9F"/>
    <w:rsid w:val="004A5FD0"/>
    <w:rsid w:val="004B1697"/>
    <w:rsid w:val="004B410F"/>
    <w:rsid w:val="004B61C4"/>
    <w:rsid w:val="004C3687"/>
    <w:rsid w:val="004C42F7"/>
    <w:rsid w:val="004C5DE2"/>
    <w:rsid w:val="004C6983"/>
    <w:rsid w:val="004D360A"/>
    <w:rsid w:val="004D669A"/>
    <w:rsid w:val="004E098A"/>
    <w:rsid w:val="004E4A4A"/>
    <w:rsid w:val="004F0D25"/>
    <w:rsid w:val="004F140E"/>
    <w:rsid w:val="004F2E2B"/>
    <w:rsid w:val="004F2F7D"/>
    <w:rsid w:val="004F66A5"/>
    <w:rsid w:val="004F704D"/>
    <w:rsid w:val="00506BEE"/>
    <w:rsid w:val="00512B10"/>
    <w:rsid w:val="00520378"/>
    <w:rsid w:val="005217ED"/>
    <w:rsid w:val="00532EFD"/>
    <w:rsid w:val="00533CEC"/>
    <w:rsid w:val="005364D8"/>
    <w:rsid w:val="005406C7"/>
    <w:rsid w:val="0054243C"/>
    <w:rsid w:val="00545EC5"/>
    <w:rsid w:val="005462E2"/>
    <w:rsid w:val="00546A24"/>
    <w:rsid w:val="005474E6"/>
    <w:rsid w:val="00561DEB"/>
    <w:rsid w:val="00562486"/>
    <w:rsid w:val="0056484E"/>
    <w:rsid w:val="005649F0"/>
    <w:rsid w:val="005654C6"/>
    <w:rsid w:val="0056680E"/>
    <w:rsid w:val="00581AF8"/>
    <w:rsid w:val="00587C71"/>
    <w:rsid w:val="00595E98"/>
    <w:rsid w:val="005A225C"/>
    <w:rsid w:val="005A6961"/>
    <w:rsid w:val="005B03FC"/>
    <w:rsid w:val="005B49B2"/>
    <w:rsid w:val="005B511B"/>
    <w:rsid w:val="005C43A3"/>
    <w:rsid w:val="005C533B"/>
    <w:rsid w:val="005C5367"/>
    <w:rsid w:val="005C5A6E"/>
    <w:rsid w:val="005D027A"/>
    <w:rsid w:val="005D0612"/>
    <w:rsid w:val="005D4AB7"/>
    <w:rsid w:val="005E0AF1"/>
    <w:rsid w:val="005E650F"/>
    <w:rsid w:val="005E7727"/>
    <w:rsid w:val="005F3473"/>
    <w:rsid w:val="005F603B"/>
    <w:rsid w:val="005F6FCD"/>
    <w:rsid w:val="00614BC2"/>
    <w:rsid w:val="00615FA5"/>
    <w:rsid w:val="0061741D"/>
    <w:rsid w:val="00617C0E"/>
    <w:rsid w:val="006217AE"/>
    <w:rsid w:val="0063053B"/>
    <w:rsid w:val="00630ECC"/>
    <w:rsid w:val="00634A45"/>
    <w:rsid w:val="00635F7B"/>
    <w:rsid w:val="00640C94"/>
    <w:rsid w:val="00652C65"/>
    <w:rsid w:val="00655328"/>
    <w:rsid w:val="006633C9"/>
    <w:rsid w:val="0066390A"/>
    <w:rsid w:val="00666C6A"/>
    <w:rsid w:val="00666C7E"/>
    <w:rsid w:val="006804F3"/>
    <w:rsid w:val="00681B3B"/>
    <w:rsid w:val="00684690"/>
    <w:rsid w:val="00687CB1"/>
    <w:rsid w:val="006926DC"/>
    <w:rsid w:val="0069735A"/>
    <w:rsid w:val="006A0FC5"/>
    <w:rsid w:val="006A1AD8"/>
    <w:rsid w:val="006A4DAD"/>
    <w:rsid w:val="006A5BC1"/>
    <w:rsid w:val="006B4103"/>
    <w:rsid w:val="006B42BE"/>
    <w:rsid w:val="006C2AD1"/>
    <w:rsid w:val="006C7F60"/>
    <w:rsid w:val="006D4054"/>
    <w:rsid w:val="006E0ADE"/>
    <w:rsid w:val="006F56B0"/>
    <w:rsid w:val="006F73EE"/>
    <w:rsid w:val="00702156"/>
    <w:rsid w:val="00703E3A"/>
    <w:rsid w:val="00706AA8"/>
    <w:rsid w:val="00707910"/>
    <w:rsid w:val="007102C0"/>
    <w:rsid w:val="007125FD"/>
    <w:rsid w:val="0071713B"/>
    <w:rsid w:val="007175EA"/>
    <w:rsid w:val="00723E36"/>
    <w:rsid w:val="0073368D"/>
    <w:rsid w:val="00733F81"/>
    <w:rsid w:val="00734CB0"/>
    <w:rsid w:val="00736E83"/>
    <w:rsid w:val="00744CA3"/>
    <w:rsid w:val="00746A2B"/>
    <w:rsid w:val="00757900"/>
    <w:rsid w:val="007611ED"/>
    <w:rsid w:val="00761D50"/>
    <w:rsid w:val="00765A01"/>
    <w:rsid w:val="007720EF"/>
    <w:rsid w:val="00772307"/>
    <w:rsid w:val="00787D57"/>
    <w:rsid w:val="0079090C"/>
    <w:rsid w:val="00792C99"/>
    <w:rsid w:val="00793843"/>
    <w:rsid w:val="00796E44"/>
    <w:rsid w:val="007A105C"/>
    <w:rsid w:val="007A6A9A"/>
    <w:rsid w:val="007B05B2"/>
    <w:rsid w:val="007D0CBA"/>
    <w:rsid w:val="007D23A6"/>
    <w:rsid w:val="007D61DD"/>
    <w:rsid w:val="007D6CC5"/>
    <w:rsid w:val="007D6D2E"/>
    <w:rsid w:val="007D7400"/>
    <w:rsid w:val="007D7D38"/>
    <w:rsid w:val="007E6723"/>
    <w:rsid w:val="007F5034"/>
    <w:rsid w:val="007F59A8"/>
    <w:rsid w:val="00800CA0"/>
    <w:rsid w:val="00803BBA"/>
    <w:rsid w:val="00804821"/>
    <w:rsid w:val="00810CA4"/>
    <w:rsid w:val="008119C4"/>
    <w:rsid w:val="0081236C"/>
    <w:rsid w:val="00816D8B"/>
    <w:rsid w:val="00834A48"/>
    <w:rsid w:val="00840DC0"/>
    <w:rsid w:val="00843BAB"/>
    <w:rsid w:val="00862857"/>
    <w:rsid w:val="00863BC2"/>
    <w:rsid w:val="008738F7"/>
    <w:rsid w:val="00876166"/>
    <w:rsid w:val="008844B7"/>
    <w:rsid w:val="0088675D"/>
    <w:rsid w:val="008871EC"/>
    <w:rsid w:val="00887D57"/>
    <w:rsid w:val="008939F4"/>
    <w:rsid w:val="008A12CE"/>
    <w:rsid w:val="008A4E59"/>
    <w:rsid w:val="008A51A1"/>
    <w:rsid w:val="008B325F"/>
    <w:rsid w:val="008B7267"/>
    <w:rsid w:val="008B7D75"/>
    <w:rsid w:val="008C2DDC"/>
    <w:rsid w:val="008D23B5"/>
    <w:rsid w:val="008D3243"/>
    <w:rsid w:val="008D4D1A"/>
    <w:rsid w:val="008E0E48"/>
    <w:rsid w:val="008E2C7E"/>
    <w:rsid w:val="008E5767"/>
    <w:rsid w:val="008F37FB"/>
    <w:rsid w:val="00902108"/>
    <w:rsid w:val="00903ED9"/>
    <w:rsid w:val="00905996"/>
    <w:rsid w:val="00905ACC"/>
    <w:rsid w:val="00913697"/>
    <w:rsid w:val="009219DC"/>
    <w:rsid w:val="0092272B"/>
    <w:rsid w:val="00924616"/>
    <w:rsid w:val="00924705"/>
    <w:rsid w:val="009270D8"/>
    <w:rsid w:val="00931B67"/>
    <w:rsid w:val="0093327F"/>
    <w:rsid w:val="00935572"/>
    <w:rsid w:val="0094056B"/>
    <w:rsid w:val="00941AEE"/>
    <w:rsid w:val="0094478C"/>
    <w:rsid w:val="00947C6C"/>
    <w:rsid w:val="009517A6"/>
    <w:rsid w:val="009553B8"/>
    <w:rsid w:val="00963D97"/>
    <w:rsid w:val="00967C6B"/>
    <w:rsid w:val="00970248"/>
    <w:rsid w:val="009717B3"/>
    <w:rsid w:val="009776FF"/>
    <w:rsid w:val="00983C15"/>
    <w:rsid w:val="009A09B4"/>
    <w:rsid w:val="009A43F4"/>
    <w:rsid w:val="009A5735"/>
    <w:rsid w:val="009A75CD"/>
    <w:rsid w:val="009C55AF"/>
    <w:rsid w:val="009C6D87"/>
    <w:rsid w:val="009C7BAF"/>
    <w:rsid w:val="009E1E8E"/>
    <w:rsid w:val="009E3372"/>
    <w:rsid w:val="009E5C65"/>
    <w:rsid w:val="009F23C1"/>
    <w:rsid w:val="009F2899"/>
    <w:rsid w:val="009F2E4F"/>
    <w:rsid w:val="009F45BC"/>
    <w:rsid w:val="009F5BA9"/>
    <w:rsid w:val="009F60DD"/>
    <w:rsid w:val="009F610C"/>
    <w:rsid w:val="009F6DC5"/>
    <w:rsid w:val="009F71F8"/>
    <w:rsid w:val="00A006C1"/>
    <w:rsid w:val="00A024C6"/>
    <w:rsid w:val="00A027FA"/>
    <w:rsid w:val="00A02BA8"/>
    <w:rsid w:val="00A204D5"/>
    <w:rsid w:val="00A36FB6"/>
    <w:rsid w:val="00A43A04"/>
    <w:rsid w:val="00A5390D"/>
    <w:rsid w:val="00A57DBC"/>
    <w:rsid w:val="00A759B0"/>
    <w:rsid w:val="00A771B5"/>
    <w:rsid w:val="00A80146"/>
    <w:rsid w:val="00A813FB"/>
    <w:rsid w:val="00A83498"/>
    <w:rsid w:val="00A83C91"/>
    <w:rsid w:val="00A87092"/>
    <w:rsid w:val="00A9653A"/>
    <w:rsid w:val="00A97F82"/>
    <w:rsid w:val="00AA1055"/>
    <w:rsid w:val="00AA52DB"/>
    <w:rsid w:val="00AA7023"/>
    <w:rsid w:val="00AA7299"/>
    <w:rsid w:val="00AB071F"/>
    <w:rsid w:val="00AC0FE7"/>
    <w:rsid w:val="00AC5858"/>
    <w:rsid w:val="00AC752F"/>
    <w:rsid w:val="00AC7CEC"/>
    <w:rsid w:val="00AD1E72"/>
    <w:rsid w:val="00AD4872"/>
    <w:rsid w:val="00AD6647"/>
    <w:rsid w:val="00AE7EA1"/>
    <w:rsid w:val="00AF3A27"/>
    <w:rsid w:val="00AF705A"/>
    <w:rsid w:val="00B00661"/>
    <w:rsid w:val="00B03215"/>
    <w:rsid w:val="00B04830"/>
    <w:rsid w:val="00B066B3"/>
    <w:rsid w:val="00B111E9"/>
    <w:rsid w:val="00B125C3"/>
    <w:rsid w:val="00B16703"/>
    <w:rsid w:val="00B16DB8"/>
    <w:rsid w:val="00B17D7D"/>
    <w:rsid w:val="00B17E03"/>
    <w:rsid w:val="00B21B57"/>
    <w:rsid w:val="00B2283B"/>
    <w:rsid w:val="00B22CB5"/>
    <w:rsid w:val="00B30290"/>
    <w:rsid w:val="00B3342F"/>
    <w:rsid w:val="00B37C01"/>
    <w:rsid w:val="00B41874"/>
    <w:rsid w:val="00B42F74"/>
    <w:rsid w:val="00B45DC0"/>
    <w:rsid w:val="00B47BAF"/>
    <w:rsid w:val="00B556E2"/>
    <w:rsid w:val="00B60F71"/>
    <w:rsid w:val="00B713DE"/>
    <w:rsid w:val="00B7564A"/>
    <w:rsid w:val="00B768A0"/>
    <w:rsid w:val="00B776A2"/>
    <w:rsid w:val="00B90988"/>
    <w:rsid w:val="00B90E79"/>
    <w:rsid w:val="00B9253E"/>
    <w:rsid w:val="00B931E3"/>
    <w:rsid w:val="00B96AC9"/>
    <w:rsid w:val="00BA0112"/>
    <w:rsid w:val="00BA2546"/>
    <w:rsid w:val="00BA3E58"/>
    <w:rsid w:val="00BA3F8F"/>
    <w:rsid w:val="00BA445F"/>
    <w:rsid w:val="00BA471A"/>
    <w:rsid w:val="00BA5B7D"/>
    <w:rsid w:val="00BB1643"/>
    <w:rsid w:val="00BB3EFD"/>
    <w:rsid w:val="00BC014E"/>
    <w:rsid w:val="00BC1E50"/>
    <w:rsid w:val="00BC3C06"/>
    <w:rsid w:val="00BD03FF"/>
    <w:rsid w:val="00BD1D84"/>
    <w:rsid w:val="00BD2F14"/>
    <w:rsid w:val="00BE14C4"/>
    <w:rsid w:val="00BE3E76"/>
    <w:rsid w:val="00BF0900"/>
    <w:rsid w:val="00BF09C2"/>
    <w:rsid w:val="00BF0BDE"/>
    <w:rsid w:val="00BF1CFA"/>
    <w:rsid w:val="00BF252D"/>
    <w:rsid w:val="00BF5FB1"/>
    <w:rsid w:val="00BF765A"/>
    <w:rsid w:val="00C04282"/>
    <w:rsid w:val="00C117C5"/>
    <w:rsid w:val="00C13776"/>
    <w:rsid w:val="00C17A1E"/>
    <w:rsid w:val="00C200F2"/>
    <w:rsid w:val="00C20F9A"/>
    <w:rsid w:val="00C215B3"/>
    <w:rsid w:val="00C25251"/>
    <w:rsid w:val="00C32620"/>
    <w:rsid w:val="00C3410F"/>
    <w:rsid w:val="00C4243B"/>
    <w:rsid w:val="00C53E6F"/>
    <w:rsid w:val="00C6399E"/>
    <w:rsid w:val="00C66008"/>
    <w:rsid w:val="00C66BA1"/>
    <w:rsid w:val="00C6739D"/>
    <w:rsid w:val="00C702E5"/>
    <w:rsid w:val="00C72C66"/>
    <w:rsid w:val="00C8180D"/>
    <w:rsid w:val="00C869C9"/>
    <w:rsid w:val="00C91480"/>
    <w:rsid w:val="00C9222C"/>
    <w:rsid w:val="00C940E3"/>
    <w:rsid w:val="00C9466D"/>
    <w:rsid w:val="00C96487"/>
    <w:rsid w:val="00CA16EE"/>
    <w:rsid w:val="00CA3FC6"/>
    <w:rsid w:val="00CA7D46"/>
    <w:rsid w:val="00CB12B5"/>
    <w:rsid w:val="00CB2647"/>
    <w:rsid w:val="00CB736D"/>
    <w:rsid w:val="00CC1126"/>
    <w:rsid w:val="00CC3550"/>
    <w:rsid w:val="00CC45AF"/>
    <w:rsid w:val="00CC4E8F"/>
    <w:rsid w:val="00CC6C7E"/>
    <w:rsid w:val="00CC7B9B"/>
    <w:rsid w:val="00CD40A4"/>
    <w:rsid w:val="00CD527C"/>
    <w:rsid w:val="00CE468F"/>
    <w:rsid w:val="00CF10CC"/>
    <w:rsid w:val="00CF1F5B"/>
    <w:rsid w:val="00CF2633"/>
    <w:rsid w:val="00CF6960"/>
    <w:rsid w:val="00CF69DE"/>
    <w:rsid w:val="00D03131"/>
    <w:rsid w:val="00D03EFC"/>
    <w:rsid w:val="00D04984"/>
    <w:rsid w:val="00D049A4"/>
    <w:rsid w:val="00D051AD"/>
    <w:rsid w:val="00D10A91"/>
    <w:rsid w:val="00D10B4F"/>
    <w:rsid w:val="00D157A3"/>
    <w:rsid w:val="00D23813"/>
    <w:rsid w:val="00D23FAE"/>
    <w:rsid w:val="00D26C86"/>
    <w:rsid w:val="00D45AC0"/>
    <w:rsid w:val="00D468F5"/>
    <w:rsid w:val="00D47097"/>
    <w:rsid w:val="00D522D9"/>
    <w:rsid w:val="00D561A8"/>
    <w:rsid w:val="00D61EBB"/>
    <w:rsid w:val="00D64047"/>
    <w:rsid w:val="00D6684A"/>
    <w:rsid w:val="00D701ED"/>
    <w:rsid w:val="00D720FF"/>
    <w:rsid w:val="00D73253"/>
    <w:rsid w:val="00D81A30"/>
    <w:rsid w:val="00D86016"/>
    <w:rsid w:val="00D8777C"/>
    <w:rsid w:val="00D915B8"/>
    <w:rsid w:val="00D962E8"/>
    <w:rsid w:val="00DA4775"/>
    <w:rsid w:val="00DA4FCC"/>
    <w:rsid w:val="00DA7412"/>
    <w:rsid w:val="00DB5C79"/>
    <w:rsid w:val="00DB79BD"/>
    <w:rsid w:val="00DC0A9D"/>
    <w:rsid w:val="00DC2502"/>
    <w:rsid w:val="00DC3C78"/>
    <w:rsid w:val="00DD36EA"/>
    <w:rsid w:val="00DE47C6"/>
    <w:rsid w:val="00DE4D44"/>
    <w:rsid w:val="00DF001E"/>
    <w:rsid w:val="00DF1BC5"/>
    <w:rsid w:val="00DF52CD"/>
    <w:rsid w:val="00DF6013"/>
    <w:rsid w:val="00E00B3C"/>
    <w:rsid w:val="00E01C33"/>
    <w:rsid w:val="00E02D8A"/>
    <w:rsid w:val="00E15E2A"/>
    <w:rsid w:val="00E16837"/>
    <w:rsid w:val="00E21987"/>
    <w:rsid w:val="00E2780F"/>
    <w:rsid w:val="00E30C81"/>
    <w:rsid w:val="00E30EC8"/>
    <w:rsid w:val="00E35F7D"/>
    <w:rsid w:val="00E37C56"/>
    <w:rsid w:val="00E4306E"/>
    <w:rsid w:val="00E431BF"/>
    <w:rsid w:val="00E46546"/>
    <w:rsid w:val="00E55668"/>
    <w:rsid w:val="00E56062"/>
    <w:rsid w:val="00E64337"/>
    <w:rsid w:val="00E70A09"/>
    <w:rsid w:val="00E76921"/>
    <w:rsid w:val="00E7696C"/>
    <w:rsid w:val="00E84D62"/>
    <w:rsid w:val="00E851CF"/>
    <w:rsid w:val="00E911F0"/>
    <w:rsid w:val="00E95EE3"/>
    <w:rsid w:val="00EA2E20"/>
    <w:rsid w:val="00EA4A36"/>
    <w:rsid w:val="00EA4B66"/>
    <w:rsid w:val="00EA6E1E"/>
    <w:rsid w:val="00EB0641"/>
    <w:rsid w:val="00EB2075"/>
    <w:rsid w:val="00EB4FFD"/>
    <w:rsid w:val="00EB7A68"/>
    <w:rsid w:val="00EC1085"/>
    <w:rsid w:val="00EC3EB1"/>
    <w:rsid w:val="00EC59AB"/>
    <w:rsid w:val="00EC5BF2"/>
    <w:rsid w:val="00EC6429"/>
    <w:rsid w:val="00EC72CF"/>
    <w:rsid w:val="00ED1CF9"/>
    <w:rsid w:val="00ED50C7"/>
    <w:rsid w:val="00ED73C0"/>
    <w:rsid w:val="00EE1F7D"/>
    <w:rsid w:val="00EE36C5"/>
    <w:rsid w:val="00EE7956"/>
    <w:rsid w:val="00EF4CD5"/>
    <w:rsid w:val="00F0037F"/>
    <w:rsid w:val="00F04ECC"/>
    <w:rsid w:val="00F10AEA"/>
    <w:rsid w:val="00F14438"/>
    <w:rsid w:val="00F214E0"/>
    <w:rsid w:val="00F24392"/>
    <w:rsid w:val="00F25FC9"/>
    <w:rsid w:val="00F3342D"/>
    <w:rsid w:val="00F423BF"/>
    <w:rsid w:val="00F43763"/>
    <w:rsid w:val="00F56BF9"/>
    <w:rsid w:val="00F57128"/>
    <w:rsid w:val="00F60639"/>
    <w:rsid w:val="00F64B1F"/>
    <w:rsid w:val="00F67950"/>
    <w:rsid w:val="00F80AA4"/>
    <w:rsid w:val="00F819E4"/>
    <w:rsid w:val="00F838D3"/>
    <w:rsid w:val="00F83FB8"/>
    <w:rsid w:val="00F92123"/>
    <w:rsid w:val="00F962A6"/>
    <w:rsid w:val="00F976A1"/>
    <w:rsid w:val="00FA04BB"/>
    <w:rsid w:val="00FA3823"/>
    <w:rsid w:val="00FA5112"/>
    <w:rsid w:val="00FA641B"/>
    <w:rsid w:val="00FA664A"/>
    <w:rsid w:val="00FA6D01"/>
    <w:rsid w:val="00FB0601"/>
    <w:rsid w:val="00FB2CC5"/>
    <w:rsid w:val="00FC0368"/>
    <w:rsid w:val="00FC2322"/>
    <w:rsid w:val="00FC3BF5"/>
    <w:rsid w:val="00FC7CE4"/>
    <w:rsid w:val="00FD56F9"/>
    <w:rsid w:val="00FD6085"/>
    <w:rsid w:val="00FD66D8"/>
    <w:rsid w:val="00FE2FFB"/>
    <w:rsid w:val="00FE511E"/>
    <w:rsid w:val="00FE59E9"/>
    <w:rsid w:val="00FF7550"/>
    <w:rsid w:val="00FF7627"/>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fill="f" fillcolor="white" stroke="f">
      <v:fill color="white" on="f"/>
      <v:stroke on="f"/>
      <o:colormenu v:ext="edit" fillcolor="none [3213]"/>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1DEB"/>
    <w:pPr>
      <w:tabs>
        <w:tab w:val="left" w:pos="709"/>
      </w:tabs>
      <w:spacing w:after="0" w:line="360" w:lineRule="auto"/>
      <w:jc w:val="both"/>
    </w:pPr>
    <w:rPr>
      <w:rFonts w:ascii="Times New Roman" w:hAnsi="Times New Roman"/>
      <w:sz w:val="24"/>
    </w:rPr>
  </w:style>
  <w:style w:type="paragraph" w:styleId="Balk1">
    <w:name w:val="heading 1"/>
    <w:basedOn w:val="Normal"/>
    <w:next w:val="Normal"/>
    <w:link w:val="Balk1Char"/>
    <w:uiPriority w:val="9"/>
    <w:qFormat/>
    <w:rsid w:val="00561DEB"/>
    <w:pPr>
      <w:keepNext/>
      <w:keepLines/>
      <w:spacing w:line="720" w:lineRule="auto"/>
      <w:outlineLvl w:val="0"/>
    </w:pPr>
    <w:rPr>
      <w:rFonts w:eastAsiaTheme="majorEastAsia" w:cstheme="majorBidi"/>
      <w:b/>
      <w:bCs/>
      <w:sz w:val="28"/>
      <w:szCs w:val="28"/>
    </w:rPr>
  </w:style>
  <w:style w:type="paragraph" w:styleId="Balk2">
    <w:name w:val="heading 2"/>
    <w:basedOn w:val="Normal"/>
    <w:next w:val="Normal"/>
    <w:link w:val="Balk2Char"/>
    <w:uiPriority w:val="9"/>
    <w:unhideWhenUsed/>
    <w:qFormat/>
    <w:rsid w:val="00434387"/>
    <w:pPr>
      <w:keepNext/>
      <w:keepLines/>
      <w:spacing w:line="480" w:lineRule="auto"/>
      <w:outlineLvl w:val="1"/>
    </w:pPr>
    <w:rPr>
      <w:rFonts w:eastAsiaTheme="majorEastAsia" w:cstheme="majorBidi"/>
      <w:b/>
      <w:bCs/>
      <w:szCs w:val="26"/>
    </w:rPr>
  </w:style>
  <w:style w:type="paragraph" w:styleId="Balk3">
    <w:name w:val="heading 3"/>
    <w:basedOn w:val="Normal"/>
    <w:next w:val="Normal"/>
    <w:link w:val="Balk3Char"/>
    <w:uiPriority w:val="9"/>
    <w:unhideWhenUsed/>
    <w:qFormat/>
    <w:rsid w:val="00EE36C5"/>
    <w:pPr>
      <w:keepNext/>
      <w:keepLines/>
      <w:spacing w:line="480" w:lineRule="auto"/>
      <w:outlineLvl w:val="2"/>
    </w:pPr>
    <w:rPr>
      <w:rFonts w:eastAsiaTheme="majorEastAsia" w:cstheme="majorBidi"/>
      <w:b/>
      <w:bCs/>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41574A"/>
    <w:pPr>
      <w:ind w:left="720"/>
      <w:contextualSpacing/>
    </w:pPr>
  </w:style>
  <w:style w:type="paragraph" w:styleId="stbilgi">
    <w:name w:val="header"/>
    <w:basedOn w:val="Normal"/>
    <w:link w:val="stbilgiChar"/>
    <w:uiPriority w:val="99"/>
    <w:unhideWhenUsed/>
    <w:rsid w:val="00A83C91"/>
    <w:pPr>
      <w:tabs>
        <w:tab w:val="center" w:pos="4536"/>
        <w:tab w:val="right" w:pos="9072"/>
      </w:tabs>
      <w:spacing w:line="240" w:lineRule="auto"/>
    </w:pPr>
  </w:style>
  <w:style w:type="character" w:customStyle="1" w:styleId="stbilgiChar">
    <w:name w:val="Üstbilgi Char"/>
    <w:basedOn w:val="VarsaylanParagrafYazTipi"/>
    <w:link w:val="stbilgi"/>
    <w:uiPriority w:val="99"/>
    <w:rsid w:val="00A83C91"/>
  </w:style>
  <w:style w:type="paragraph" w:styleId="Altbilgi">
    <w:name w:val="footer"/>
    <w:basedOn w:val="Normal"/>
    <w:link w:val="AltbilgiChar"/>
    <w:uiPriority w:val="99"/>
    <w:unhideWhenUsed/>
    <w:rsid w:val="00A83C91"/>
    <w:pPr>
      <w:tabs>
        <w:tab w:val="center" w:pos="4536"/>
        <w:tab w:val="right" w:pos="9072"/>
      </w:tabs>
      <w:spacing w:line="240" w:lineRule="auto"/>
    </w:pPr>
  </w:style>
  <w:style w:type="character" w:customStyle="1" w:styleId="AltbilgiChar">
    <w:name w:val="Altbilgi Char"/>
    <w:basedOn w:val="VarsaylanParagrafYazTipi"/>
    <w:link w:val="Altbilgi"/>
    <w:uiPriority w:val="99"/>
    <w:rsid w:val="00A83C91"/>
  </w:style>
  <w:style w:type="paragraph" w:styleId="BalonMetni">
    <w:name w:val="Balloon Text"/>
    <w:basedOn w:val="Normal"/>
    <w:link w:val="BalonMetniChar"/>
    <w:uiPriority w:val="99"/>
    <w:semiHidden/>
    <w:unhideWhenUsed/>
    <w:rsid w:val="003B5756"/>
    <w:pPr>
      <w:spacing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3B5756"/>
    <w:rPr>
      <w:rFonts w:ascii="Tahoma" w:hAnsi="Tahoma" w:cs="Tahoma"/>
      <w:sz w:val="16"/>
      <w:szCs w:val="16"/>
    </w:rPr>
  </w:style>
  <w:style w:type="paragraph" w:styleId="ResimYazs">
    <w:name w:val="caption"/>
    <w:basedOn w:val="Normal"/>
    <w:next w:val="Normal"/>
    <w:uiPriority w:val="35"/>
    <w:unhideWhenUsed/>
    <w:qFormat/>
    <w:rsid w:val="00BF252D"/>
    <w:pPr>
      <w:spacing w:line="240" w:lineRule="auto"/>
    </w:pPr>
    <w:rPr>
      <w:b/>
      <w:bCs/>
      <w:color w:val="4F81BD" w:themeColor="accent1"/>
      <w:sz w:val="18"/>
      <w:szCs w:val="18"/>
    </w:rPr>
  </w:style>
  <w:style w:type="paragraph" w:customStyle="1" w:styleId="KonuBal1">
    <w:name w:val="Konu Başlığı1"/>
    <w:basedOn w:val="Normal"/>
    <w:rsid w:val="00016253"/>
    <w:pPr>
      <w:spacing w:before="100" w:beforeAutospacing="1" w:after="100" w:afterAutospacing="1" w:line="240" w:lineRule="auto"/>
    </w:pPr>
    <w:rPr>
      <w:rFonts w:eastAsia="Times New Roman" w:cs="Times New Roman"/>
      <w:szCs w:val="24"/>
    </w:rPr>
  </w:style>
  <w:style w:type="table" w:styleId="TabloKlavuzu">
    <w:name w:val="Table Grid"/>
    <w:basedOn w:val="NormalTablo"/>
    <w:uiPriority w:val="59"/>
    <w:rsid w:val="00E5566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AkGlgeleme1">
    <w:name w:val="Açık Gölgeleme1"/>
    <w:basedOn w:val="NormalTablo"/>
    <w:uiPriority w:val="60"/>
    <w:rsid w:val="00C6600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DecimalAligned">
    <w:name w:val="Decimal Aligned"/>
    <w:basedOn w:val="Normal"/>
    <w:uiPriority w:val="40"/>
    <w:qFormat/>
    <w:rsid w:val="00D04984"/>
    <w:pPr>
      <w:tabs>
        <w:tab w:val="decimal" w:pos="360"/>
      </w:tabs>
    </w:pPr>
  </w:style>
  <w:style w:type="paragraph" w:styleId="DipnotMetni">
    <w:name w:val="footnote text"/>
    <w:basedOn w:val="Normal"/>
    <w:link w:val="DipnotMetniChar"/>
    <w:uiPriority w:val="99"/>
    <w:unhideWhenUsed/>
    <w:rsid w:val="00D04984"/>
    <w:pPr>
      <w:spacing w:line="240" w:lineRule="auto"/>
    </w:pPr>
    <w:rPr>
      <w:sz w:val="20"/>
      <w:szCs w:val="20"/>
    </w:rPr>
  </w:style>
  <w:style w:type="character" w:customStyle="1" w:styleId="DipnotMetniChar">
    <w:name w:val="Dipnot Metni Char"/>
    <w:basedOn w:val="VarsaylanParagrafYazTipi"/>
    <w:link w:val="DipnotMetni"/>
    <w:uiPriority w:val="99"/>
    <w:rsid w:val="00D04984"/>
    <w:rPr>
      <w:rFonts w:eastAsiaTheme="minorEastAsia"/>
      <w:sz w:val="20"/>
      <w:szCs w:val="20"/>
    </w:rPr>
  </w:style>
  <w:style w:type="character" w:styleId="HafifVurgulama">
    <w:name w:val="Subtle Emphasis"/>
    <w:basedOn w:val="VarsaylanParagrafYazTipi"/>
    <w:uiPriority w:val="19"/>
    <w:qFormat/>
    <w:rsid w:val="00D04984"/>
    <w:rPr>
      <w:rFonts w:eastAsiaTheme="minorEastAsia" w:cstheme="minorBidi"/>
      <w:bCs w:val="0"/>
      <w:i/>
      <w:iCs/>
      <w:color w:val="808080" w:themeColor="text1" w:themeTint="7F"/>
      <w:szCs w:val="22"/>
      <w:lang w:val="tr-TR"/>
    </w:rPr>
  </w:style>
  <w:style w:type="table" w:styleId="OrtaGlgeleme2-Vurgu5">
    <w:name w:val="Medium Shading 2 Accent 5"/>
    <w:basedOn w:val="NormalTablo"/>
    <w:uiPriority w:val="64"/>
    <w:rsid w:val="00D0498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kListe-Vurgu5">
    <w:name w:val="Light List Accent 5"/>
    <w:basedOn w:val="NormalTablo"/>
    <w:uiPriority w:val="61"/>
    <w:rsid w:val="004A142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AkGlgeleme10">
    <w:name w:val="Açık Gölgeleme1"/>
    <w:basedOn w:val="NormalTablo"/>
    <w:uiPriority w:val="60"/>
    <w:rsid w:val="000447A5"/>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ps">
    <w:name w:val="hps"/>
    <w:basedOn w:val="VarsaylanParagrafYazTipi"/>
    <w:rsid w:val="00012E54"/>
  </w:style>
  <w:style w:type="character" w:customStyle="1" w:styleId="atn">
    <w:name w:val="atn"/>
    <w:basedOn w:val="VarsaylanParagrafYazTipi"/>
    <w:rsid w:val="00012E54"/>
  </w:style>
  <w:style w:type="character" w:customStyle="1" w:styleId="Balk2Char">
    <w:name w:val="Başlık 2 Char"/>
    <w:basedOn w:val="VarsaylanParagrafYazTipi"/>
    <w:link w:val="Balk2"/>
    <w:uiPriority w:val="9"/>
    <w:rsid w:val="00434387"/>
    <w:rPr>
      <w:rFonts w:ascii="Times New Roman" w:eastAsiaTheme="majorEastAsia" w:hAnsi="Times New Roman" w:cstheme="majorBidi"/>
      <w:b/>
      <w:bCs/>
      <w:sz w:val="24"/>
      <w:szCs w:val="26"/>
    </w:rPr>
  </w:style>
  <w:style w:type="character" w:styleId="Kpr">
    <w:name w:val="Hyperlink"/>
    <w:basedOn w:val="VarsaylanParagrafYazTipi"/>
    <w:uiPriority w:val="99"/>
    <w:unhideWhenUsed/>
    <w:rsid w:val="00F56BF9"/>
    <w:rPr>
      <w:color w:val="0000FF"/>
      <w:u w:val="single"/>
    </w:rPr>
  </w:style>
  <w:style w:type="character" w:customStyle="1" w:styleId="jrnl">
    <w:name w:val="jrnl"/>
    <w:basedOn w:val="VarsaylanParagrafYazTipi"/>
    <w:rsid w:val="00F56BF9"/>
  </w:style>
  <w:style w:type="character" w:customStyle="1" w:styleId="apple-converted-space">
    <w:name w:val="apple-converted-space"/>
    <w:basedOn w:val="VarsaylanParagrafYazTipi"/>
    <w:rsid w:val="00F56BF9"/>
  </w:style>
  <w:style w:type="character" w:customStyle="1" w:styleId="Balk1Char">
    <w:name w:val="Başlık 1 Char"/>
    <w:basedOn w:val="VarsaylanParagrafYazTipi"/>
    <w:link w:val="Balk1"/>
    <w:uiPriority w:val="9"/>
    <w:rsid w:val="00561DEB"/>
    <w:rPr>
      <w:rFonts w:ascii="Times New Roman" w:eastAsiaTheme="majorEastAsia" w:hAnsi="Times New Roman" w:cstheme="majorBidi"/>
      <w:b/>
      <w:bCs/>
      <w:sz w:val="28"/>
      <w:szCs w:val="28"/>
    </w:rPr>
  </w:style>
  <w:style w:type="character" w:customStyle="1" w:styleId="Balk3Char">
    <w:name w:val="Başlık 3 Char"/>
    <w:basedOn w:val="VarsaylanParagrafYazTipi"/>
    <w:link w:val="Balk3"/>
    <w:uiPriority w:val="9"/>
    <w:rsid w:val="00EE36C5"/>
    <w:rPr>
      <w:rFonts w:ascii="Times New Roman" w:eastAsiaTheme="majorEastAsia" w:hAnsi="Times New Roman" w:cstheme="majorBidi"/>
      <w:b/>
      <w:bCs/>
      <w:sz w:val="24"/>
    </w:rPr>
  </w:style>
  <w:style w:type="paragraph" w:styleId="T1">
    <w:name w:val="toc 1"/>
    <w:basedOn w:val="Normal"/>
    <w:next w:val="Normal"/>
    <w:autoRedefine/>
    <w:uiPriority w:val="39"/>
    <w:unhideWhenUsed/>
    <w:rsid w:val="00B03215"/>
    <w:pPr>
      <w:tabs>
        <w:tab w:val="clear" w:pos="709"/>
      </w:tabs>
      <w:spacing w:after="100"/>
    </w:pPr>
  </w:style>
  <w:style w:type="paragraph" w:styleId="T2">
    <w:name w:val="toc 2"/>
    <w:basedOn w:val="Normal"/>
    <w:next w:val="Normal"/>
    <w:autoRedefine/>
    <w:uiPriority w:val="39"/>
    <w:unhideWhenUsed/>
    <w:rsid w:val="00B03215"/>
    <w:pPr>
      <w:tabs>
        <w:tab w:val="clear" w:pos="709"/>
      </w:tabs>
      <w:spacing w:after="100"/>
      <w:ind w:left="240"/>
    </w:pPr>
  </w:style>
  <w:style w:type="paragraph" w:styleId="T3">
    <w:name w:val="toc 3"/>
    <w:basedOn w:val="Normal"/>
    <w:next w:val="Normal"/>
    <w:autoRedefine/>
    <w:uiPriority w:val="39"/>
    <w:unhideWhenUsed/>
    <w:rsid w:val="00B03215"/>
    <w:pPr>
      <w:tabs>
        <w:tab w:val="clear" w:pos="709"/>
      </w:tabs>
      <w:spacing w:after="100"/>
      <w:ind w:left="48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1DEB"/>
    <w:pPr>
      <w:tabs>
        <w:tab w:val="left" w:pos="709"/>
      </w:tabs>
      <w:spacing w:after="0" w:line="360" w:lineRule="auto"/>
      <w:jc w:val="both"/>
    </w:pPr>
    <w:rPr>
      <w:rFonts w:ascii="Times New Roman" w:hAnsi="Times New Roman"/>
      <w:sz w:val="24"/>
    </w:rPr>
  </w:style>
  <w:style w:type="paragraph" w:styleId="Balk1">
    <w:name w:val="heading 1"/>
    <w:basedOn w:val="Normal"/>
    <w:next w:val="Normal"/>
    <w:link w:val="Balk1Char"/>
    <w:uiPriority w:val="9"/>
    <w:qFormat/>
    <w:rsid w:val="00561DEB"/>
    <w:pPr>
      <w:keepNext/>
      <w:keepLines/>
      <w:spacing w:line="720" w:lineRule="auto"/>
      <w:outlineLvl w:val="0"/>
    </w:pPr>
    <w:rPr>
      <w:rFonts w:eastAsiaTheme="majorEastAsia" w:cstheme="majorBidi"/>
      <w:b/>
      <w:bCs/>
      <w:sz w:val="28"/>
      <w:szCs w:val="28"/>
    </w:rPr>
  </w:style>
  <w:style w:type="paragraph" w:styleId="Balk2">
    <w:name w:val="heading 2"/>
    <w:basedOn w:val="Normal"/>
    <w:next w:val="Normal"/>
    <w:link w:val="Balk2Char"/>
    <w:uiPriority w:val="9"/>
    <w:unhideWhenUsed/>
    <w:qFormat/>
    <w:rsid w:val="00434387"/>
    <w:pPr>
      <w:keepNext/>
      <w:keepLines/>
      <w:spacing w:line="480" w:lineRule="auto"/>
      <w:outlineLvl w:val="1"/>
    </w:pPr>
    <w:rPr>
      <w:rFonts w:eastAsiaTheme="majorEastAsia" w:cstheme="majorBidi"/>
      <w:b/>
      <w:bCs/>
      <w:szCs w:val="26"/>
    </w:rPr>
  </w:style>
  <w:style w:type="paragraph" w:styleId="Balk3">
    <w:name w:val="heading 3"/>
    <w:basedOn w:val="Normal"/>
    <w:next w:val="Normal"/>
    <w:link w:val="Balk3Char"/>
    <w:uiPriority w:val="9"/>
    <w:unhideWhenUsed/>
    <w:qFormat/>
    <w:rsid w:val="00EE36C5"/>
    <w:pPr>
      <w:keepNext/>
      <w:keepLines/>
      <w:spacing w:line="480" w:lineRule="auto"/>
      <w:outlineLvl w:val="2"/>
    </w:pPr>
    <w:rPr>
      <w:rFonts w:eastAsiaTheme="majorEastAsia" w:cstheme="majorBidi"/>
      <w:b/>
      <w:bCs/>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41574A"/>
    <w:pPr>
      <w:ind w:left="720"/>
      <w:contextualSpacing/>
    </w:pPr>
  </w:style>
  <w:style w:type="paragraph" w:styleId="stbilgi">
    <w:name w:val="header"/>
    <w:basedOn w:val="Normal"/>
    <w:link w:val="stbilgiChar"/>
    <w:uiPriority w:val="99"/>
    <w:unhideWhenUsed/>
    <w:rsid w:val="00A83C91"/>
    <w:pPr>
      <w:tabs>
        <w:tab w:val="center" w:pos="4536"/>
        <w:tab w:val="right" w:pos="9072"/>
      </w:tabs>
      <w:spacing w:line="240" w:lineRule="auto"/>
    </w:pPr>
  </w:style>
  <w:style w:type="character" w:customStyle="1" w:styleId="stbilgiChar">
    <w:name w:val="Üstbilgi Char"/>
    <w:basedOn w:val="VarsaylanParagrafYazTipi"/>
    <w:link w:val="stbilgi"/>
    <w:uiPriority w:val="99"/>
    <w:rsid w:val="00A83C91"/>
  </w:style>
  <w:style w:type="paragraph" w:styleId="Altbilgi">
    <w:name w:val="footer"/>
    <w:basedOn w:val="Normal"/>
    <w:link w:val="AltbilgiChar"/>
    <w:uiPriority w:val="99"/>
    <w:unhideWhenUsed/>
    <w:rsid w:val="00A83C91"/>
    <w:pPr>
      <w:tabs>
        <w:tab w:val="center" w:pos="4536"/>
        <w:tab w:val="right" w:pos="9072"/>
      </w:tabs>
      <w:spacing w:line="240" w:lineRule="auto"/>
    </w:pPr>
  </w:style>
  <w:style w:type="character" w:customStyle="1" w:styleId="AltbilgiChar">
    <w:name w:val="Altbilgi Char"/>
    <w:basedOn w:val="VarsaylanParagrafYazTipi"/>
    <w:link w:val="Altbilgi"/>
    <w:uiPriority w:val="99"/>
    <w:rsid w:val="00A83C91"/>
  </w:style>
  <w:style w:type="paragraph" w:styleId="BalonMetni">
    <w:name w:val="Balloon Text"/>
    <w:basedOn w:val="Normal"/>
    <w:link w:val="BalonMetniChar"/>
    <w:uiPriority w:val="99"/>
    <w:semiHidden/>
    <w:unhideWhenUsed/>
    <w:rsid w:val="003B5756"/>
    <w:pPr>
      <w:spacing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3B5756"/>
    <w:rPr>
      <w:rFonts w:ascii="Tahoma" w:hAnsi="Tahoma" w:cs="Tahoma"/>
      <w:sz w:val="16"/>
      <w:szCs w:val="16"/>
    </w:rPr>
  </w:style>
  <w:style w:type="paragraph" w:styleId="ResimYazs">
    <w:name w:val="caption"/>
    <w:basedOn w:val="Normal"/>
    <w:next w:val="Normal"/>
    <w:uiPriority w:val="35"/>
    <w:unhideWhenUsed/>
    <w:qFormat/>
    <w:rsid w:val="00BF252D"/>
    <w:pPr>
      <w:spacing w:line="240" w:lineRule="auto"/>
    </w:pPr>
    <w:rPr>
      <w:b/>
      <w:bCs/>
      <w:color w:val="4F81BD" w:themeColor="accent1"/>
      <w:sz w:val="18"/>
      <w:szCs w:val="18"/>
    </w:rPr>
  </w:style>
  <w:style w:type="paragraph" w:customStyle="1" w:styleId="KonuBal1">
    <w:name w:val="Konu Başlığı1"/>
    <w:basedOn w:val="Normal"/>
    <w:rsid w:val="00016253"/>
    <w:pPr>
      <w:spacing w:before="100" w:beforeAutospacing="1" w:after="100" w:afterAutospacing="1" w:line="240" w:lineRule="auto"/>
    </w:pPr>
    <w:rPr>
      <w:rFonts w:eastAsia="Times New Roman" w:cs="Times New Roman"/>
      <w:szCs w:val="24"/>
    </w:rPr>
  </w:style>
  <w:style w:type="table" w:styleId="TabloKlavuzu">
    <w:name w:val="Table Grid"/>
    <w:basedOn w:val="NormalTablo"/>
    <w:uiPriority w:val="59"/>
    <w:rsid w:val="00E5566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AkGlgeleme1">
    <w:name w:val="Açık Gölgeleme1"/>
    <w:basedOn w:val="NormalTablo"/>
    <w:uiPriority w:val="60"/>
    <w:rsid w:val="00C6600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DecimalAligned">
    <w:name w:val="Decimal Aligned"/>
    <w:basedOn w:val="Normal"/>
    <w:uiPriority w:val="40"/>
    <w:qFormat/>
    <w:rsid w:val="00D04984"/>
    <w:pPr>
      <w:tabs>
        <w:tab w:val="decimal" w:pos="360"/>
      </w:tabs>
    </w:pPr>
  </w:style>
  <w:style w:type="paragraph" w:styleId="DipnotMetni">
    <w:name w:val="footnote text"/>
    <w:basedOn w:val="Normal"/>
    <w:link w:val="DipnotMetniChar"/>
    <w:uiPriority w:val="99"/>
    <w:unhideWhenUsed/>
    <w:rsid w:val="00D04984"/>
    <w:pPr>
      <w:spacing w:line="240" w:lineRule="auto"/>
    </w:pPr>
    <w:rPr>
      <w:sz w:val="20"/>
      <w:szCs w:val="20"/>
    </w:rPr>
  </w:style>
  <w:style w:type="character" w:customStyle="1" w:styleId="DipnotMetniChar">
    <w:name w:val="Dipnot Metni Char"/>
    <w:basedOn w:val="VarsaylanParagrafYazTipi"/>
    <w:link w:val="DipnotMetni"/>
    <w:uiPriority w:val="99"/>
    <w:rsid w:val="00D04984"/>
    <w:rPr>
      <w:rFonts w:eastAsiaTheme="minorEastAsia"/>
      <w:sz w:val="20"/>
      <w:szCs w:val="20"/>
    </w:rPr>
  </w:style>
  <w:style w:type="character" w:styleId="HafifVurgulama">
    <w:name w:val="Subtle Emphasis"/>
    <w:basedOn w:val="VarsaylanParagrafYazTipi"/>
    <w:uiPriority w:val="19"/>
    <w:qFormat/>
    <w:rsid w:val="00D04984"/>
    <w:rPr>
      <w:rFonts w:eastAsiaTheme="minorEastAsia" w:cstheme="minorBidi"/>
      <w:bCs w:val="0"/>
      <w:i/>
      <w:iCs/>
      <w:color w:val="808080" w:themeColor="text1" w:themeTint="7F"/>
      <w:szCs w:val="22"/>
      <w:lang w:val="tr-TR"/>
    </w:rPr>
  </w:style>
  <w:style w:type="table" w:styleId="OrtaGlgeleme2-Vurgu5">
    <w:name w:val="Medium Shading 2 Accent 5"/>
    <w:basedOn w:val="NormalTablo"/>
    <w:uiPriority w:val="64"/>
    <w:rsid w:val="00D0498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kListe-Vurgu5">
    <w:name w:val="Light List Accent 5"/>
    <w:basedOn w:val="NormalTablo"/>
    <w:uiPriority w:val="61"/>
    <w:rsid w:val="004A142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AkGlgeleme10">
    <w:name w:val="Açık Gölgeleme1"/>
    <w:basedOn w:val="NormalTablo"/>
    <w:uiPriority w:val="60"/>
    <w:rsid w:val="000447A5"/>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ps">
    <w:name w:val="hps"/>
    <w:basedOn w:val="VarsaylanParagrafYazTipi"/>
    <w:rsid w:val="00012E54"/>
  </w:style>
  <w:style w:type="character" w:customStyle="1" w:styleId="atn">
    <w:name w:val="atn"/>
    <w:basedOn w:val="VarsaylanParagrafYazTipi"/>
    <w:rsid w:val="00012E54"/>
  </w:style>
  <w:style w:type="character" w:customStyle="1" w:styleId="Balk2Char">
    <w:name w:val="Başlık 2 Char"/>
    <w:basedOn w:val="VarsaylanParagrafYazTipi"/>
    <w:link w:val="Balk2"/>
    <w:uiPriority w:val="9"/>
    <w:rsid w:val="00434387"/>
    <w:rPr>
      <w:rFonts w:ascii="Times New Roman" w:eastAsiaTheme="majorEastAsia" w:hAnsi="Times New Roman" w:cstheme="majorBidi"/>
      <w:b/>
      <w:bCs/>
      <w:sz w:val="24"/>
      <w:szCs w:val="26"/>
    </w:rPr>
  </w:style>
  <w:style w:type="character" w:styleId="Kpr">
    <w:name w:val="Hyperlink"/>
    <w:basedOn w:val="VarsaylanParagrafYazTipi"/>
    <w:uiPriority w:val="99"/>
    <w:unhideWhenUsed/>
    <w:rsid w:val="00F56BF9"/>
    <w:rPr>
      <w:color w:val="0000FF"/>
      <w:u w:val="single"/>
    </w:rPr>
  </w:style>
  <w:style w:type="character" w:customStyle="1" w:styleId="jrnl">
    <w:name w:val="jrnl"/>
    <w:basedOn w:val="VarsaylanParagrafYazTipi"/>
    <w:rsid w:val="00F56BF9"/>
  </w:style>
  <w:style w:type="character" w:customStyle="1" w:styleId="apple-converted-space">
    <w:name w:val="apple-converted-space"/>
    <w:basedOn w:val="VarsaylanParagrafYazTipi"/>
    <w:rsid w:val="00F56BF9"/>
  </w:style>
  <w:style w:type="character" w:customStyle="1" w:styleId="Balk1Char">
    <w:name w:val="Başlık 1 Char"/>
    <w:basedOn w:val="VarsaylanParagrafYazTipi"/>
    <w:link w:val="Balk1"/>
    <w:uiPriority w:val="9"/>
    <w:rsid w:val="00561DEB"/>
    <w:rPr>
      <w:rFonts w:ascii="Times New Roman" w:eastAsiaTheme="majorEastAsia" w:hAnsi="Times New Roman" w:cstheme="majorBidi"/>
      <w:b/>
      <w:bCs/>
      <w:sz w:val="28"/>
      <w:szCs w:val="28"/>
    </w:rPr>
  </w:style>
  <w:style w:type="character" w:customStyle="1" w:styleId="Balk3Char">
    <w:name w:val="Başlık 3 Char"/>
    <w:basedOn w:val="VarsaylanParagrafYazTipi"/>
    <w:link w:val="Balk3"/>
    <w:uiPriority w:val="9"/>
    <w:rsid w:val="00EE36C5"/>
    <w:rPr>
      <w:rFonts w:ascii="Times New Roman" w:eastAsiaTheme="majorEastAsia" w:hAnsi="Times New Roman" w:cstheme="majorBidi"/>
      <w:b/>
      <w:bCs/>
      <w:sz w:val="24"/>
    </w:rPr>
  </w:style>
  <w:style w:type="paragraph" w:styleId="T1">
    <w:name w:val="toc 1"/>
    <w:basedOn w:val="Normal"/>
    <w:next w:val="Normal"/>
    <w:autoRedefine/>
    <w:uiPriority w:val="39"/>
    <w:unhideWhenUsed/>
    <w:rsid w:val="00B03215"/>
    <w:pPr>
      <w:tabs>
        <w:tab w:val="clear" w:pos="709"/>
      </w:tabs>
      <w:spacing w:after="100"/>
    </w:pPr>
  </w:style>
  <w:style w:type="paragraph" w:styleId="T2">
    <w:name w:val="toc 2"/>
    <w:basedOn w:val="Normal"/>
    <w:next w:val="Normal"/>
    <w:autoRedefine/>
    <w:uiPriority w:val="39"/>
    <w:unhideWhenUsed/>
    <w:rsid w:val="00B03215"/>
    <w:pPr>
      <w:tabs>
        <w:tab w:val="clear" w:pos="709"/>
      </w:tabs>
      <w:spacing w:after="100"/>
      <w:ind w:left="240"/>
    </w:pPr>
  </w:style>
  <w:style w:type="paragraph" w:styleId="T3">
    <w:name w:val="toc 3"/>
    <w:basedOn w:val="Normal"/>
    <w:next w:val="Normal"/>
    <w:autoRedefine/>
    <w:uiPriority w:val="39"/>
    <w:unhideWhenUsed/>
    <w:rsid w:val="00B03215"/>
    <w:pPr>
      <w:tabs>
        <w:tab w:val="clear" w:pos="709"/>
      </w:tabs>
      <w:spacing w:after="100"/>
      <w:ind w:left="480"/>
    </w:pPr>
  </w:style>
</w:styles>
</file>

<file path=word/webSettings.xml><?xml version="1.0" encoding="utf-8"?>
<w:webSettings xmlns:r="http://schemas.openxmlformats.org/officeDocument/2006/relationships" xmlns:w="http://schemas.openxmlformats.org/wordprocessingml/2006/main">
  <w:divs>
    <w:div w:id="54091503">
      <w:bodyDiv w:val="1"/>
      <w:marLeft w:val="0"/>
      <w:marRight w:val="0"/>
      <w:marTop w:val="0"/>
      <w:marBottom w:val="0"/>
      <w:divBdr>
        <w:top w:val="none" w:sz="0" w:space="0" w:color="auto"/>
        <w:left w:val="none" w:sz="0" w:space="0" w:color="auto"/>
        <w:bottom w:val="none" w:sz="0" w:space="0" w:color="auto"/>
        <w:right w:val="none" w:sz="0" w:space="0" w:color="auto"/>
      </w:divBdr>
    </w:div>
    <w:div w:id="676659996">
      <w:bodyDiv w:val="1"/>
      <w:marLeft w:val="0"/>
      <w:marRight w:val="0"/>
      <w:marTop w:val="0"/>
      <w:marBottom w:val="0"/>
      <w:divBdr>
        <w:top w:val="none" w:sz="0" w:space="0" w:color="auto"/>
        <w:left w:val="none" w:sz="0" w:space="0" w:color="auto"/>
        <w:bottom w:val="none" w:sz="0" w:space="0" w:color="auto"/>
        <w:right w:val="none" w:sz="0" w:space="0" w:color="auto"/>
      </w:divBdr>
      <w:divsChild>
        <w:div w:id="395129193">
          <w:marLeft w:val="0"/>
          <w:marRight w:val="0"/>
          <w:marTop w:val="0"/>
          <w:marBottom w:val="0"/>
          <w:divBdr>
            <w:top w:val="none" w:sz="0" w:space="0" w:color="auto"/>
            <w:left w:val="none" w:sz="0" w:space="0" w:color="auto"/>
            <w:bottom w:val="none" w:sz="0" w:space="0" w:color="auto"/>
            <w:right w:val="none" w:sz="0" w:space="0" w:color="auto"/>
          </w:divBdr>
          <w:divsChild>
            <w:div w:id="737871139">
              <w:marLeft w:val="0"/>
              <w:marRight w:val="0"/>
              <w:marTop w:val="0"/>
              <w:marBottom w:val="0"/>
              <w:divBdr>
                <w:top w:val="none" w:sz="0" w:space="0" w:color="auto"/>
                <w:left w:val="none" w:sz="0" w:space="0" w:color="auto"/>
                <w:bottom w:val="none" w:sz="0" w:space="0" w:color="auto"/>
                <w:right w:val="none" w:sz="0" w:space="0" w:color="auto"/>
              </w:divBdr>
              <w:divsChild>
                <w:div w:id="1088233308">
                  <w:marLeft w:val="0"/>
                  <w:marRight w:val="0"/>
                  <w:marTop w:val="0"/>
                  <w:marBottom w:val="0"/>
                  <w:divBdr>
                    <w:top w:val="none" w:sz="0" w:space="0" w:color="auto"/>
                    <w:left w:val="none" w:sz="0" w:space="0" w:color="auto"/>
                    <w:bottom w:val="none" w:sz="0" w:space="0" w:color="auto"/>
                    <w:right w:val="none" w:sz="0" w:space="0" w:color="auto"/>
                  </w:divBdr>
                  <w:divsChild>
                    <w:div w:id="1173496062">
                      <w:marLeft w:val="0"/>
                      <w:marRight w:val="0"/>
                      <w:marTop w:val="0"/>
                      <w:marBottom w:val="0"/>
                      <w:divBdr>
                        <w:top w:val="none" w:sz="0" w:space="0" w:color="auto"/>
                        <w:left w:val="none" w:sz="0" w:space="0" w:color="auto"/>
                        <w:bottom w:val="none" w:sz="0" w:space="0" w:color="auto"/>
                        <w:right w:val="none" w:sz="0" w:space="0" w:color="auto"/>
                      </w:divBdr>
                      <w:divsChild>
                        <w:div w:id="141701098">
                          <w:marLeft w:val="0"/>
                          <w:marRight w:val="0"/>
                          <w:marTop w:val="0"/>
                          <w:marBottom w:val="0"/>
                          <w:divBdr>
                            <w:top w:val="none" w:sz="0" w:space="0" w:color="auto"/>
                            <w:left w:val="none" w:sz="0" w:space="0" w:color="auto"/>
                            <w:bottom w:val="none" w:sz="0" w:space="0" w:color="auto"/>
                            <w:right w:val="none" w:sz="0" w:space="0" w:color="auto"/>
                          </w:divBdr>
                          <w:divsChild>
                            <w:div w:id="207691028">
                              <w:marLeft w:val="0"/>
                              <w:marRight w:val="0"/>
                              <w:marTop w:val="0"/>
                              <w:marBottom w:val="0"/>
                              <w:divBdr>
                                <w:top w:val="none" w:sz="0" w:space="0" w:color="auto"/>
                                <w:left w:val="none" w:sz="0" w:space="0" w:color="auto"/>
                                <w:bottom w:val="none" w:sz="0" w:space="0" w:color="auto"/>
                                <w:right w:val="none" w:sz="0" w:space="0" w:color="auto"/>
                              </w:divBdr>
                              <w:divsChild>
                                <w:div w:id="866262065">
                                  <w:marLeft w:val="0"/>
                                  <w:marRight w:val="0"/>
                                  <w:marTop w:val="0"/>
                                  <w:marBottom w:val="0"/>
                                  <w:divBdr>
                                    <w:top w:val="none" w:sz="0" w:space="0" w:color="auto"/>
                                    <w:left w:val="none" w:sz="0" w:space="0" w:color="auto"/>
                                    <w:bottom w:val="none" w:sz="0" w:space="0" w:color="auto"/>
                                    <w:right w:val="none" w:sz="0" w:space="0" w:color="auto"/>
                                  </w:divBdr>
                                  <w:divsChild>
                                    <w:div w:id="2091921920">
                                      <w:marLeft w:val="0"/>
                                      <w:marRight w:val="0"/>
                                      <w:marTop w:val="0"/>
                                      <w:marBottom w:val="0"/>
                                      <w:divBdr>
                                        <w:top w:val="none" w:sz="0" w:space="0" w:color="auto"/>
                                        <w:left w:val="none" w:sz="0" w:space="0" w:color="auto"/>
                                        <w:bottom w:val="none" w:sz="0" w:space="0" w:color="auto"/>
                                        <w:right w:val="none" w:sz="0" w:space="0" w:color="auto"/>
                                      </w:divBdr>
                                      <w:divsChild>
                                        <w:div w:id="1214921842">
                                          <w:marLeft w:val="0"/>
                                          <w:marRight w:val="0"/>
                                          <w:marTop w:val="0"/>
                                          <w:marBottom w:val="0"/>
                                          <w:divBdr>
                                            <w:top w:val="none" w:sz="0" w:space="0" w:color="auto"/>
                                            <w:left w:val="none" w:sz="0" w:space="0" w:color="auto"/>
                                            <w:bottom w:val="none" w:sz="0" w:space="0" w:color="auto"/>
                                            <w:right w:val="none" w:sz="0" w:space="0" w:color="auto"/>
                                          </w:divBdr>
                                          <w:divsChild>
                                            <w:div w:id="1709062170">
                                              <w:marLeft w:val="0"/>
                                              <w:marRight w:val="0"/>
                                              <w:marTop w:val="0"/>
                                              <w:marBottom w:val="0"/>
                                              <w:divBdr>
                                                <w:top w:val="none" w:sz="0" w:space="0" w:color="auto"/>
                                                <w:left w:val="none" w:sz="0" w:space="0" w:color="auto"/>
                                                <w:bottom w:val="none" w:sz="0" w:space="0" w:color="auto"/>
                                                <w:right w:val="none" w:sz="0" w:space="0" w:color="auto"/>
                                              </w:divBdr>
                                              <w:divsChild>
                                                <w:div w:id="355546373">
                                                  <w:marLeft w:val="0"/>
                                                  <w:marRight w:val="0"/>
                                                  <w:marTop w:val="0"/>
                                                  <w:marBottom w:val="0"/>
                                                  <w:divBdr>
                                                    <w:top w:val="none" w:sz="0" w:space="0" w:color="auto"/>
                                                    <w:left w:val="none" w:sz="0" w:space="0" w:color="auto"/>
                                                    <w:bottom w:val="none" w:sz="0" w:space="0" w:color="auto"/>
                                                    <w:right w:val="none" w:sz="0" w:space="0" w:color="auto"/>
                                                  </w:divBdr>
                                                  <w:divsChild>
                                                    <w:div w:id="619650501">
                                                      <w:marLeft w:val="0"/>
                                                      <w:marRight w:val="0"/>
                                                      <w:marTop w:val="0"/>
                                                      <w:marBottom w:val="0"/>
                                                      <w:divBdr>
                                                        <w:top w:val="none" w:sz="0" w:space="0" w:color="auto"/>
                                                        <w:left w:val="none" w:sz="0" w:space="0" w:color="auto"/>
                                                        <w:bottom w:val="none" w:sz="0" w:space="0" w:color="auto"/>
                                                        <w:right w:val="none" w:sz="0" w:space="0" w:color="auto"/>
                                                      </w:divBdr>
                                                    </w:div>
                                                  </w:divsChild>
                                                </w:div>
                                                <w:div w:id="663705966">
                                                  <w:marLeft w:val="0"/>
                                                  <w:marRight w:val="0"/>
                                                  <w:marTop w:val="0"/>
                                                  <w:marBottom w:val="0"/>
                                                  <w:divBdr>
                                                    <w:top w:val="none" w:sz="0" w:space="0" w:color="auto"/>
                                                    <w:left w:val="none" w:sz="0" w:space="0" w:color="auto"/>
                                                    <w:bottom w:val="none" w:sz="0" w:space="0" w:color="auto"/>
                                                    <w:right w:val="none" w:sz="0" w:space="0" w:color="auto"/>
                                                  </w:divBdr>
                                                  <w:divsChild>
                                                    <w:div w:id="371076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25938237">
      <w:bodyDiv w:val="1"/>
      <w:marLeft w:val="0"/>
      <w:marRight w:val="0"/>
      <w:marTop w:val="0"/>
      <w:marBottom w:val="0"/>
      <w:divBdr>
        <w:top w:val="none" w:sz="0" w:space="0" w:color="auto"/>
        <w:left w:val="none" w:sz="0" w:space="0" w:color="auto"/>
        <w:bottom w:val="none" w:sz="0" w:space="0" w:color="auto"/>
        <w:right w:val="none" w:sz="0" w:space="0" w:color="auto"/>
      </w:divBdr>
      <w:divsChild>
        <w:div w:id="1656378196">
          <w:marLeft w:val="0"/>
          <w:marRight w:val="0"/>
          <w:marTop w:val="0"/>
          <w:marBottom w:val="0"/>
          <w:divBdr>
            <w:top w:val="none" w:sz="0" w:space="0" w:color="auto"/>
            <w:left w:val="none" w:sz="0" w:space="0" w:color="auto"/>
            <w:bottom w:val="none" w:sz="0" w:space="0" w:color="auto"/>
            <w:right w:val="none" w:sz="0" w:space="0" w:color="auto"/>
          </w:divBdr>
          <w:divsChild>
            <w:div w:id="1448235573">
              <w:marLeft w:val="0"/>
              <w:marRight w:val="0"/>
              <w:marTop w:val="0"/>
              <w:marBottom w:val="0"/>
              <w:divBdr>
                <w:top w:val="none" w:sz="0" w:space="0" w:color="auto"/>
                <w:left w:val="none" w:sz="0" w:space="0" w:color="auto"/>
                <w:bottom w:val="none" w:sz="0" w:space="0" w:color="auto"/>
                <w:right w:val="none" w:sz="0" w:space="0" w:color="auto"/>
              </w:divBdr>
              <w:divsChild>
                <w:div w:id="119881915">
                  <w:marLeft w:val="0"/>
                  <w:marRight w:val="0"/>
                  <w:marTop w:val="0"/>
                  <w:marBottom w:val="0"/>
                  <w:divBdr>
                    <w:top w:val="none" w:sz="0" w:space="0" w:color="auto"/>
                    <w:left w:val="none" w:sz="0" w:space="0" w:color="auto"/>
                    <w:bottom w:val="none" w:sz="0" w:space="0" w:color="auto"/>
                    <w:right w:val="none" w:sz="0" w:space="0" w:color="auto"/>
                  </w:divBdr>
                  <w:divsChild>
                    <w:div w:id="1568564912">
                      <w:marLeft w:val="0"/>
                      <w:marRight w:val="0"/>
                      <w:marTop w:val="0"/>
                      <w:marBottom w:val="0"/>
                      <w:divBdr>
                        <w:top w:val="none" w:sz="0" w:space="0" w:color="auto"/>
                        <w:left w:val="none" w:sz="0" w:space="0" w:color="auto"/>
                        <w:bottom w:val="none" w:sz="0" w:space="0" w:color="auto"/>
                        <w:right w:val="none" w:sz="0" w:space="0" w:color="auto"/>
                      </w:divBdr>
                      <w:divsChild>
                        <w:div w:id="986590183">
                          <w:marLeft w:val="0"/>
                          <w:marRight w:val="0"/>
                          <w:marTop w:val="0"/>
                          <w:marBottom w:val="0"/>
                          <w:divBdr>
                            <w:top w:val="none" w:sz="0" w:space="0" w:color="auto"/>
                            <w:left w:val="none" w:sz="0" w:space="0" w:color="auto"/>
                            <w:bottom w:val="none" w:sz="0" w:space="0" w:color="auto"/>
                            <w:right w:val="none" w:sz="0" w:space="0" w:color="auto"/>
                          </w:divBdr>
                          <w:divsChild>
                            <w:div w:id="1783766303">
                              <w:marLeft w:val="0"/>
                              <w:marRight w:val="0"/>
                              <w:marTop w:val="0"/>
                              <w:marBottom w:val="0"/>
                              <w:divBdr>
                                <w:top w:val="none" w:sz="0" w:space="0" w:color="auto"/>
                                <w:left w:val="none" w:sz="0" w:space="0" w:color="auto"/>
                                <w:bottom w:val="none" w:sz="0" w:space="0" w:color="auto"/>
                                <w:right w:val="none" w:sz="0" w:space="0" w:color="auto"/>
                              </w:divBdr>
                              <w:divsChild>
                                <w:div w:id="1612589619">
                                  <w:marLeft w:val="0"/>
                                  <w:marRight w:val="0"/>
                                  <w:marTop w:val="0"/>
                                  <w:marBottom w:val="0"/>
                                  <w:divBdr>
                                    <w:top w:val="none" w:sz="0" w:space="0" w:color="auto"/>
                                    <w:left w:val="none" w:sz="0" w:space="0" w:color="auto"/>
                                    <w:bottom w:val="none" w:sz="0" w:space="0" w:color="auto"/>
                                    <w:right w:val="none" w:sz="0" w:space="0" w:color="auto"/>
                                  </w:divBdr>
                                  <w:divsChild>
                                    <w:div w:id="622200314">
                                      <w:marLeft w:val="0"/>
                                      <w:marRight w:val="0"/>
                                      <w:marTop w:val="0"/>
                                      <w:marBottom w:val="0"/>
                                      <w:divBdr>
                                        <w:top w:val="none" w:sz="0" w:space="0" w:color="auto"/>
                                        <w:left w:val="none" w:sz="0" w:space="0" w:color="auto"/>
                                        <w:bottom w:val="none" w:sz="0" w:space="0" w:color="auto"/>
                                        <w:right w:val="none" w:sz="0" w:space="0" w:color="auto"/>
                                      </w:divBdr>
                                      <w:divsChild>
                                        <w:div w:id="166142058">
                                          <w:marLeft w:val="0"/>
                                          <w:marRight w:val="0"/>
                                          <w:marTop w:val="0"/>
                                          <w:marBottom w:val="0"/>
                                          <w:divBdr>
                                            <w:top w:val="none" w:sz="0" w:space="0" w:color="auto"/>
                                            <w:left w:val="none" w:sz="0" w:space="0" w:color="auto"/>
                                            <w:bottom w:val="none" w:sz="0" w:space="0" w:color="auto"/>
                                            <w:right w:val="none" w:sz="0" w:space="0" w:color="auto"/>
                                          </w:divBdr>
                                          <w:divsChild>
                                            <w:div w:id="248850008">
                                              <w:marLeft w:val="0"/>
                                              <w:marRight w:val="0"/>
                                              <w:marTop w:val="0"/>
                                              <w:marBottom w:val="0"/>
                                              <w:divBdr>
                                                <w:top w:val="none" w:sz="0" w:space="0" w:color="auto"/>
                                                <w:left w:val="none" w:sz="0" w:space="0" w:color="auto"/>
                                                <w:bottom w:val="none" w:sz="0" w:space="0" w:color="auto"/>
                                                <w:right w:val="none" w:sz="0" w:space="0" w:color="auto"/>
                                              </w:divBdr>
                                              <w:divsChild>
                                                <w:div w:id="2138260213">
                                                  <w:marLeft w:val="0"/>
                                                  <w:marRight w:val="0"/>
                                                  <w:marTop w:val="0"/>
                                                  <w:marBottom w:val="0"/>
                                                  <w:divBdr>
                                                    <w:top w:val="none" w:sz="0" w:space="0" w:color="auto"/>
                                                    <w:left w:val="none" w:sz="0" w:space="0" w:color="auto"/>
                                                    <w:bottom w:val="none" w:sz="0" w:space="0" w:color="auto"/>
                                                    <w:right w:val="none" w:sz="0" w:space="0" w:color="auto"/>
                                                  </w:divBdr>
                                                  <w:divsChild>
                                                    <w:div w:id="1372802814">
                                                      <w:marLeft w:val="0"/>
                                                      <w:marRight w:val="0"/>
                                                      <w:marTop w:val="0"/>
                                                      <w:marBottom w:val="0"/>
                                                      <w:divBdr>
                                                        <w:top w:val="none" w:sz="0" w:space="0" w:color="auto"/>
                                                        <w:left w:val="none" w:sz="0" w:space="0" w:color="auto"/>
                                                        <w:bottom w:val="none" w:sz="0" w:space="0" w:color="auto"/>
                                                        <w:right w:val="none" w:sz="0" w:space="0" w:color="auto"/>
                                                      </w:divBdr>
                                                    </w:div>
                                                  </w:divsChild>
                                                </w:div>
                                                <w:div w:id="124780584">
                                                  <w:marLeft w:val="0"/>
                                                  <w:marRight w:val="0"/>
                                                  <w:marTop w:val="0"/>
                                                  <w:marBottom w:val="0"/>
                                                  <w:divBdr>
                                                    <w:top w:val="none" w:sz="0" w:space="0" w:color="auto"/>
                                                    <w:left w:val="none" w:sz="0" w:space="0" w:color="auto"/>
                                                    <w:bottom w:val="none" w:sz="0" w:space="0" w:color="auto"/>
                                                    <w:right w:val="none" w:sz="0" w:space="0" w:color="auto"/>
                                                  </w:divBdr>
                                                  <w:divsChild>
                                                    <w:div w:id="1308435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52571807">
      <w:bodyDiv w:val="1"/>
      <w:marLeft w:val="0"/>
      <w:marRight w:val="0"/>
      <w:marTop w:val="0"/>
      <w:marBottom w:val="0"/>
      <w:divBdr>
        <w:top w:val="none" w:sz="0" w:space="0" w:color="auto"/>
        <w:left w:val="none" w:sz="0" w:space="0" w:color="auto"/>
        <w:bottom w:val="none" w:sz="0" w:space="0" w:color="auto"/>
        <w:right w:val="none" w:sz="0" w:space="0" w:color="auto"/>
      </w:divBdr>
      <w:divsChild>
        <w:div w:id="1370105117">
          <w:marLeft w:val="0"/>
          <w:marRight w:val="0"/>
          <w:marTop w:val="0"/>
          <w:marBottom w:val="0"/>
          <w:divBdr>
            <w:top w:val="none" w:sz="0" w:space="0" w:color="auto"/>
            <w:left w:val="none" w:sz="0" w:space="0" w:color="auto"/>
            <w:bottom w:val="none" w:sz="0" w:space="0" w:color="auto"/>
            <w:right w:val="none" w:sz="0" w:space="0" w:color="auto"/>
          </w:divBdr>
          <w:divsChild>
            <w:div w:id="1137140895">
              <w:marLeft w:val="0"/>
              <w:marRight w:val="0"/>
              <w:marTop w:val="0"/>
              <w:marBottom w:val="0"/>
              <w:divBdr>
                <w:top w:val="none" w:sz="0" w:space="0" w:color="auto"/>
                <w:left w:val="none" w:sz="0" w:space="0" w:color="auto"/>
                <w:bottom w:val="none" w:sz="0" w:space="0" w:color="auto"/>
                <w:right w:val="none" w:sz="0" w:space="0" w:color="auto"/>
              </w:divBdr>
              <w:divsChild>
                <w:div w:id="1991204048">
                  <w:marLeft w:val="0"/>
                  <w:marRight w:val="0"/>
                  <w:marTop w:val="0"/>
                  <w:marBottom w:val="0"/>
                  <w:divBdr>
                    <w:top w:val="none" w:sz="0" w:space="0" w:color="auto"/>
                    <w:left w:val="none" w:sz="0" w:space="0" w:color="auto"/>
                    <w:bottom w:val="none" w:sz="0" w:space="0" w:color="auto"/>
                    <w:right w:val="none" w:sz="0" w:space="0" w:color="auto"/>
                  </w:divBdr>
                  <w:divsChild>
                    <w:div w:id="887185581">
                      <w:marLeft w:val="0"/>
                      <w:marRight w:val="0"/>
                      <w:marTop w:val="0"/>
                      <w:marBottom w:val="0"/>
                      <w:divBdr>
                        <w:top w:val="none" w:sz="0" w:space="0" w:color="auto"/>
                        <w:left w:val="none" w:sz="0" w:space="0" w:color="auto"/>
                        <w:bottom w:val="none" w:sz="0" w:space="0" w:color="auto"/>
                        <w:right w:val="none" w:sz="0" w:space="0" w:color="auto"/>
                      </w:divBdr>
                      <w:divsChild>
                        <w:div w:id="1325622027">
                          <w:marLeft w:val="0"/>
                          <w:marRight w:val="0"/>
                          <w:marTop w:val="0"/>
                          <w:marBottom w:val="0"/>
                          <w:divBdr>
                            <w:top w:val="none" w:sz="0" w:space="0" w:color="auto"/>
                            <w:left w:val="none" w:sz="0" w:space="0" w:color="auto"/>
                            <w:bottom w:val="none" w:sz="0" w:space="0" w:color="auto"/>
                            <w:right w:val="none" w:sz="0" w:space="0" w:color="auto"/>
                          </w:divBdr>
                          <w:divsChild>
                            <w:div w:id="1252931980">
                              <w:marLeft w:val="0"/>
                              <w:marRight w:val="0"/>
                              <w:marTop w:val="0"/>
                              <w:marBottom w:val="0"/>
                              <w:divBdr>
                                <w:top w:val="none" w:sz="0" w:space="0" w:color="auto"/>
                                <w:left w:val="none" w:sz="0" w:space="0" w:color="auto"/>
                                <w:bottom w:val="none" w:sz="0" w:space="0" w:color="auto"/>
                                <w:right w:val="none" w:sz="0" w:space="0" w:color="auto"/>
                              </w:divBdr>
                              <w:divsChild>
                                <w:div w:id="76830658">
                                  <w:marLeft w:val="0"/>
                                  <w:marRight w:val="0"/>
                                  <w:marTop w:val="0"/>
                                  <w:marBottom w:val="0"/>
                                  <w:divBdr>
                                    <w:top w:val="none" w:sz="0" w:space="0" w:color="auto"/>
                                    <w:left w:val="none" w:sz="0" w:space="0" w:color="auto"/>
                                    <w:bottom w:val="none" w:sz="0" w:space="0" w:color="auto"/>
                                    <w:right w:val="none" w:sz="0" w:space="0" w:color="auto"/>
                                  </w:divBdr>
                                  <w:divsChild>
                                    <w:div w:id="252864639">
                                      <w:marLeft w:val="0"/>
                                      <w:marRight w:val="0"/>
                                      <w:marTop w:val="0"/>
                                      <w:marBottom w:val="0"/>
                                      <w:divBdr>
                                        <w:top w:val="none" w:sz="0" w:space="0" w:color="auto"/>
                                        <w:left w:val="none" w:sz="0" w:space="0" w:color="auto"/>
                                        <w:bottom w:val="none" w:sz="0" w:space="0" w:color="auto"/>
                                        <w:right w:val="none" w:sz="0" w:space="0" w:color="auto"/>
                                      </w:divBdr>
                                      <w:divsChild>
                                        <w:div w:id="1191799759">
                                          <w:marLeft w:val="0"/>
                                          <w:marRight w:val="0"/>
                                          <w:marTop w:val="0"/>
                                          <w:marBottom w:val="0"/>
                                          <w:divBdr>
                                            <w:top w:val="none" w:sz="0" w:space="0" w:color="auto"/>
                                            <w:left w:val="none" w:sz="0" w:space="0" w:color="auto"/>
                                            <w:bottom w:val="none" w:sz="0" w:space="0" w:color="auto"/>
                                            <w:right w:val="none" w:sz="0" w:space="0" w:color="auto"/>
                                          </w:divBdr>
                                          <w:divsChild>
                                            <w:div w:id="282732615">
                                              <w:marLeft w:val="0"/>
                                              <w:marRight w:val="0"/>
                                              <w:marTop w:val="0"/>
                                              <w:marBottom w:val="0"/>
                                              <w:divBdr>
                                                <w:top w:val="none" w:sz="0" w:space="0" w:color="auto"/>
                                                <w:left w:val="none" w:sz="0" w:space="0" w:color="auto"/>
                                                <w:bottom w:val="none" w:sz="0" w:space="0" w:color="auto"/>
                                                <w:right w:val="none" w:sz="0" w:space="0" w:color="auto"/>
                                              </w:divBdr>
                                              <w:divsChild>
                                                <w:div w:id="2066752341">
                                                  <w:marLeft w:val="0"/>
                                                  <w:marRight w:val="0"/>
                                                  <w:marTop w:val="0"/>
                                                  <w:marBottom w:val="0"/>
                                                  <w:divBdr>
                                                    <w:top w:val="none" w:sz="0" w:space="0" w:color="auto"/>
                                                    <w:left w:val="none" w:sz="0" w:space="0" w:color="auto"/>
                                                    <w:bottom w:val="none" w:sz="0" w:space="0" w:color="auto"/>
                                                    <w:right w:val="none" w:sz="0" w:space="0" w:color="auto"/>
                                                  </w:divBdr>
                                                  <w:divsChild>
                                                    <w:div w:id="1975714235">
                                                      <w:marLeft w:val="0"/>
                                                      <w:marRight w:val="0"/>
                                                      <w:marTop w:val="0"/>
                                                      <w:marBottom w:val="0"/>
                                                      <w:divBdr>
                                                        <w:top w:val="none" w:sz="0" w:space="0" w:color="auto"/>
                                                        <w:left w:val="none" w:sz="0" w:space="0" w:color="auto"/>
                                                        <w:bottom w:val="none" w:sz="0" w:space="0" w:color="auto"/>
                                                        <w:right w:val="none" w:sz="0" w:space="0" w:color="auto"/>
                                                      </w:divBdr>
                                                    </w:div>
                                                  </w:divsChild>
                                                </w:div>
                                                <w:div w:id="1079714285">
                                                  <w:marLeft w:val="0"/>
                                                  <w:marRight w:val="0"/>
                                                  <w:marTop w:val="0"/>
                                                  <w:marBottom w:val="0"/>
                                                  <w:divBdr>
                                                    <w:top w:val="none" w:sz="0" w:space="0" w:color="auto"/>
                                                    <w:left w:val="none" w:sz="0" w:space="0" w:color="auto"/>
                                                    <w:bottom w:val="none" w:sz="0" w:space="0" w:color="auto"/>
                                                    <w:right w:val="none" w:sz="0" w:space="0" w:color="auto"/>
                                                  </w:divBdr>
                                                  <w:divsChild>
                                                    <w:div w:id="336035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3.emf"/><Relationship Id="rId18" Type="http://schemas.openxmlformats.org/officeDocument/2006/relationships/image" Target="media/image8.emf"/><Relationship Id="rId3" Type="http://schemas.openxmlformats.org/officeDocument/2006/relationships/styles" Target="styles.xml"/><Relationship Id="rId21"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oleObject" Target="embeddings/oleObject2.bin"/><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jpeg"/></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A78E7B-9593-4DA6-BB90-18C3E321C7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10320</Words>
  <Characters>58830</Characters>
  <Application>Microsoft Office Word</Application>
  <DocSecurity>0</DocSecurity>
  <Lines>490</Lines>
  <Paragraphs>138</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69012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2</cp:revision>
  <cp:lastPrinted>2015-10-08T09:41:00Z</cp:lastPrinted>
  <dcterms:created xsi:type="dcterms:W3CDTF">2016-01-18T21:51:00Z</dcterms:created>
  <dcterms:modified xsi:type="dcterms:W3CDTF">2016-01-18T21:51:00Z</dcterms:modified>
</cp:coreProperties>
</file>