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032A" w:rsidRDefault="00E4032A" w:rsidP="00BD4422">
      <w:pPr>
        <w:spacing w:line="360" w:lineRule="auto"/>
        <w:jc w:val="center"/>
        <w:rPr>
          <w:lang w:val="tr-TR"/>
        </w:rPr>
      </w:pPr>
      <w:r w:rsidRPr="00FD7089">
        <w:rPr>
          <w:lang w:val="tr-TR"/>
        </w:rPr>
        <w:object w:dxaOrig="1865" w:dyaOrig="15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65pt;height:53.35pt" o:ole="" fillcolor="window">
            <v:imagedata r:id="rId7" o:title=""/>
          </v:shape>
          <o:OLEObject Type="Embed" ProgID="CDraw4" ShapeID="_x0000_i1025" DrawAspect="Content" ObjectID="_1393622097" r:id="rId8">
            <o:FieldCodes>\s \* mergeformat</o:FieldCodes>
          </o:OLEObject>
        </w:object>
      </w:r>
    </w:p>
    <w:p w:rsidR="00E4032A" w:rsidRPr="00A24B9D" w:rsidRDefault="00E4032A" w:rsidP="00BD4422">
      <w:pPr>
        <w:tabs>
          <w:tab w:val="left" w:pos="720"/>
          <w:tab w:val="center" w:pos="4535"/>
        </w:tabs>
        <w:jc w:val="center"/>
        <w:rPr>
          <w:b/>
          <w:bCs/>
          <w:sz w:val="28"/>
          <w:szCs w:val="28"/>
          <w:lang w:val="tr-TR"/>
        </w:rPr>
      </w:pPr>
      <w:r w:rsidRPr="00A24B9D">
        <w:rPr>
          <w:b/>
          <w:bCs/>
          <w:sz w:val="28"/>
          <w:szCs w:val="28"/>
          <w:lang w:val="tr-TR"/>
        </w:rPr>
        <w:t>BAŞKENT ÜNİVERSİTESİ</w:t>
      </w:r>
    </w:p>
    <w:p w:rsidR="00E4032A" w:rsidRPr="00A24B9D" w:rsidRDefault="00E4032A" w:rsidP="00BD4422">
      <w:pPr>
        <w:spacing w:line="360" w:lineRule="auto"/>
        <w:jc w:val="center"/>
        <w:rPr>
          <w:sz w:val="28"/>
          <w:szCs w:val="28"/>
          <w:lang w:val="tr-TR"/>
        </w:rPr>
      </w:pPr>
      <w:r w:rsidRPr="00A24B9D">
        <w:rPr>
          <w:b/>
          <w:bCs/>
          <w:sz w:val="28"/>
          <w:szCs w:val="28"/>
          <w:lang w:val="tr-TR"/>
        </w:rPr>
        <w:t>TIP FAKÜLTESİ</w:t>
      </w:r>
    </w:p>
    <w:p w:rsidR="00E4032A" w:rsidRPr="00A24B9D" w:rsidRDefault="00E4032A" w:rsidP="00BD4422">
      <w:pPr>
        <w:spacing w:line="360" w:lineRule="auto"/>
        <w:jc w:val="center"/>
        <w:rPr>
          <w:b/>
          <w:sz w:val="28"/>
          <w:szCs w:val="28"/>
          <w:lang w:val="tr-TR"/>
        </w:rPr>
      </w:pPr>
      <w:r w:rsidRPr="00A24B9D">
        <w:rPr>
          <w:b/>
          <w:sz w:val="28"/>
          <w:szCs w:val="28"/>
          <w:lang w:val="tr-TR"/>
        </w:rPr>
        <w:t>İÇ HASTALIKLARI ANABİLİM DALI</w:t>
      </w:r>
    </w:p>
    <w:p w:rsidR="00E4032A" w:rsidRPr="00A24B9D" w:rsidRDefault="00E4032A" w:rsidP="00BD4422">
      <w:pPr>
        <w:spacing w:line="360" w:lineRule="auto"/>
        <w:jc w:val="center"/>
        <w:rPr>
          <w:b/>
          <w:sz w:val="28"/>
          <w:szCs w:val="28"/>
          <w:lang w:val="tr-TR"/>
        </w:rPr>
      </w:pPr>
      <w:r w:rsidRPr="00A24B9D">
        <w:rPr>
          <w:b/>
          <w:sz w:val="28"/>
          <w:szCs w:val="28"/>
          <w:lang w:val="tr-TR"/>
        </w:rPr>
        <w:t>TIBBİ ONKOLOJİ BİLİM DALI</w:t>
      </w:r>
    </w:p>
    <w:p w:rsidR="00E4032A" w:rsidRPr="00A24B9D" w:rsidRDefault="00E4032A" w:rsidP="00BD4422">
      <w:pPr>
        <w:spacing w:line="360" w:lineRule="auto"/>
        <w:jc w:val="center"/>
        <w:rPr>
          <w:b/>
          <w:sz w:val="28"/>
          <w:szCs w:val="28"/>
          <w:lang w:val="tr-TR"/>
        </w:rPr>
      </w:pPr>
    </w:p>
    <w:p w:rsidR="00E4032A" w:rsidRPr="00A24B9D" w:rsidRDefault="00E4032A" w:rsidP="00BD4422">
      <w:pPr>
        <w:spacing w:line="360" w:lineRule="auto"/>
        <w:jc w:val="center"/>
        <w:rPr>
          <w:b/>
          <w:sz w:val="28"/>
          <w:szCs w:val="28"/>
          <w:lang w:val="tr-TR"/>
        </w:rPr>
      </w:pPr>
    </w:p>
    <w:p w:rsidR="00A24B9D" w:rsidRDefault="00C27479" w:rsidP="00BD4422">
      <w:pPr>
        <w:tabs>
          <w:tab w:val="left" w:pos="720"/>
        </w:tabs>
        <w:autoSpaceDE w:val="0"/>
        <w:autoSpaceDN w:val="0"/>
        <w:adjustRightInd w:val="0"/>
        <w:spacing w:line="360" w:lineRule="auto"/>
        <w:ind w:left="277" w:right="18"/>
        <w:jc w:val="center"/>
        <w:rPr>
          <w:b/>
          <w:sz w:val="28"/>
          <w:szCs w:val="28"/>
        </w:rPr>
      </w:pPr>
      <w:r>
        <w:rPr>
          <w:b/>
          <w:sz w:val="28"/>
          <w:szCs w:val="28"/>
        </w:rPr>
        <w:t>METASTATİK KOLOREKTAL KARSİNOMLU HASTALARDA BEVAC</w:t>
      </w:r>
      <w:r w:rsidR="002011FC">
        <w:rPr>
          <w:b/>
          <w:sz w:val="28"/>
          <w:szCs w:val="28"/>
        </w:rPr>
        <w:t>I</w:t>
      </w:r>
      <w:r>
        <w:rPr>
          <w:b/>
          <w:sz w:val="28"/>
          <w:szCs w:val="28"/>
        </w:rPr>
        <w:t xml:space="preserve">ZUMAB KULLANIMININ HİPERTANSİYON GELİŞMESİ VE SERUM VASKÜLER ENDOTELYAL </w:t>
      </w:r>
      <w:r w:rsidR="00E36B30">
        <w:rPr>
          <w:b/>
          <w:sz w:val="28"/>
          <w:szCs w:val="28"/>
        </w:rPr>
        <w:t>BÜYÜME FAKTÖRÜ</w:t>
      </w:r>
      <w:r>
        <w:rPr>
          <w:b/>
          <w:sz w:val="28"/>
          <w:szCs w:val="28"/>
        </w:rPr>
        <w:t>, NİTRİK OKSİT, AN</w:t>
      </w:r>
      <w:r w:rsidR="00E36B30">
        <w:rPr>
          <w:b/>
          <w:sz w:val="28"/>
          <w:szCs w:val="28"/>
        </w:rPr>
        <w:t>J</w:t>
      </w:r>
      <w:r>
        <w:rPr>
          <w:b/>
          <w:sz w:val="28"/>
          <w:szCs w:val="28"/>
        </w:rPr>
        <w:t>İ</w:t>
      </w:r>
      <w:r w:rsidR="00E36B30">
        <w:rPr>
          <w:b/>
          <w:sz w:val="28"/>
          <w:szCs w:val="28"/>
        </w:rPr>
        <w:t>Y</w:t>
      </w:r>
      <w:r>
        <w:rPr>
          <w:b/>
          <w:sz w:val="28"/>
          <w:szCs w:val="28"/>
        </w:rPr>
        <w:t>OTENSİN II DÜZEYLERİ ÜZERİNDEKİ ETKİSİ VE TEDAVİYE YANIT İLE OLAN İLİŞKİSİ</w:t>
      </w:r>
    </w:p>
    <w:p w:rsidR="00C27479" w:rsidRDefault="00C27479" w:rsidP="00BD4422">
      <w:pPr>
        <w:tabs>
          <w:tab w:val="left" w:pos="720"/>
        </w:tabs>
        <w:autoSpaceDE w:val="0"/>
        <w:autoSpaceDN w:val="0"/>
        <w:adjustRightInd w:val="0"/>
        <w:spacing w:line="360" w:lineRule="auto"/>
        <w:ind w:left="277" w:right="18"/>
        <w:jc w:val="center"/>
        <w:rPr>
          <w:b/>
          <w:sz w:val="28"/>
          <w:szCs w:val="28"/>
        </w:rPr>
      </w:pPr>
    </w:p>
    <w:p w:rsidR="00A24B9D" w:rsidRDefault="00A24B9D" w:rsidP="00BD4422">
      <w:pPr>
        <w:tabs>
          <w:tab w:val="left" w:pos="720"/>
        </w:tabs>
        <w:autoSpaceDE w:val="0"/>
        <w:autoSpaceDN w:val="0"/>
        <w:adjustRightInd w:val="0"/>
        <w:spacing w:line="360" w:lineRule="auto"/>
        <w:ind w:left="277" w:right="18"/>
        <w:jc w:val="center"/>
        <w:rPr>
          <w:b/>
          <w:sz w:val="28"/>
          <w:szCs w:val="28"/>
        </w:rPr>
      </w:pPr>
    </w:p>
    <w:p w:rsidR="00E4032A" w:rsidRPr="00A24B9D" w:rsidRDefault="00E4032A" w:rsidP="00BD4422">
      <w:pPr>
        <w:tabs>
          <w:tab w:val="left" w:pos="720"/>
        </w:tabs>
        <w:autoSpaceDE w:val="0"/>
        <w:autoSpaceDN w:val="0"/>
        <w:adjustRightInd w:val="0"/>
        <w:spacing w:line="360" w:lineRule="auto"/>
        <w:ind w:left="277" w:right="18"/>
        <w:jc w:val="center"/>
        <w:rPr>
          <w:b/>
          <w:sz w:val="28"/>
          <w:szCs w:val="28"/>
        </w:rPr>
      </w:pPr>
      <w:r w:rsidRPr="00A24B9D">
        <w:rPr>
          <w:b/>
          <w:sz w:val="28"/>
          <w:szCs w:val="28"/>
        </w:rPr>
        <w:t>YANDAL UZMANLIK TEZİ</w:t>
      </w:r>
    </w:p>
    <w:p w:rsidR="00E4032A" w:rsidRPr="00A24B9D" w:rsidRDefault="00BA4A6F" w:rsidP="00BD4422">
      <w:pPr>
        <w:tabs>
          <w:tab w:val="left" w:pos="720"/>
        </w:tabs>
        <w:autoSpaceDE w:val="0"/>
        <w:autoSpaceDN w:val="0"/>
        <w:adjustRightInd w:val="0"/>
        <w:spacing w:line="360" w:lineRule="auto"/>
        <w:ind w:left="277" w:right="18"/>
        <w:jc w:val="center"/>
        <w:rPr>
          <w:b/>
          <w:sz w:val="28"/>
          <w:szCs w:val="28"/>
        </w:rPr>
      </w:pPr>
      <w:r w:rsidRPr="00A24B9D">
        <w:rPr>
          <w:b/>
          <w:sz w:val="28"/>
          <w:szCs w:val="28"/>
        </w:rPr>
        <w:t>Dr.</w:t>
      </w:r>
      <w:r w:rsidR="00A24B9D" w:rsidRPr="00A24B9D">
        <w:rPr>
          <w:b/>
          <w:sz w:val="28"/>
          <w:szCs w:val="28"/>
        </w:rPr>
        <w:t xml:space="preserve"> </w:t>
      </w:r>
      <w:r w:rsidR="00C27479">
        <w:rPr>
          <w:b/>
          <w:sz w:val="28"/>
          <w:szCs w:val="28"/>
        </w:rPr>
        <w:t>Ahmet Taner Sümbül</w:t>
      </w:r>
    </w:p>
    <w:p w:rsidR="00E4032A" w:rsidRPr="00A24B9D" w:rsidRDefault="00E4032A" w:rsidP="00BD4422">
      <w:pPr>
        <w:tabs>
          <w:tab w:val="left" w:pos="720"/>
        </w:tabs>
        <w:autoSpaceDE w:val="0"/>
        <w:autoSpaceDN w:val="0"/>
        <w:adjustRightInd w:val="0"/>
        <w:spacing w:line="360" w:lineRule="auto"/>
        <w:ind w:left="277" w:right="18"/>
        <w:jc w:val="center"/>
        <w:rPr>
          <w:b/>
          <w:sz w:val="28"/>
          <w:szCs w:val="28"/>
        </w:rPr>
      </w:pPr>
    </w:p>
    <w:p w:rsidR="00A24B9D" w:rsidRDefault="00A24B9D" w:rsidP="00BD4422">
      <w:pPr>
        <w:tabs>
          <w:tab w:val="left" w:pos="720"/>
        </w:tabs>
        <w:autoSpaceDE w:val="0"/>
        <w:autoSpaceDN w:val="0"/>
        <w:adjustRightInd w:val="0"/>
        <w:spacing w:line="360" w:lineRule="auto"/>
        <w:ind w:left="277" w:right="18"/>
        <w:jc w:val="center"/>
        <w:rPr>
          <w:b/>
          <w:sz w:val="28"/>
          <w:szCs w:val="28"/>
        </w:rPr>
      </w:pPr>
    </w:p>
    <w:p w:rsidR="00C27479" w:rsidRPr="00A24B9D" w:rsidRDefault="00C27479" w:rsidP="00BD4422">
      <w:pPr>
        <w:tabs>
          <w:tab w:val="left" w:pos="720"/>
        </w:tabs>
        <w:autoSpaceDE w:val="0"/>
        <w:autoSpaceDN w:val="0"/>
        <w:adjustRightInd w:val="0"/>
        <w:spacing w:line="360" w:lineRule="auto"/>
        <w:ind w:left="277" w:right="18"/>
        <w:jc w:val="center"/>
        <w:rPr>
          <w:b/>
          <w:sz w:val="28"/>
          <w:szCs w:val="28"/>
        </w:rPr>
      </w:pPr>
    </w:p>
    <w:p w:rsidR="00224E0F" w:rsidRPr="00A24B9D" w:rsidRDefault="00224E0F" w:rsidP="00BD4422">
      <w:pPr>
        <w:tabs>
          <w:tab w:val="left" w:pos="720"/>
        </w:tabs>
        <w:autoSpaceDE w:val="0"/>
        <w:autoSpaceDN w:val="0"/>
        <w:adjustRightInd w:val="0"/>
        <w:spacing w:line="360" w:lineRule="auto"/>
        <w:ind w:left="277" w:right="18"/>
        <w:jc w:val="center"/>
        <w:rPr>
          <w:b/>
          <w:sz w:val="28"/>
          <w:szCs w:val="28"/>
        </w:rPr>
      </w:pPr>
    </w:p>
    <w:p w:rsidR="00E4032A" w:rsidRPr="00A24B9D" w:rsidRDefault="00E4032A" w:rsidP="00BD4422">
      <w:pPr>
        <w:tabs>
          <w:tab w:val="left" w:pos="720"/>
        </w:tabs>
        <w:autoSpaceDE w:val="0"/>
        <w:autoSpaceDN w:val="0"/>
        <w:adjustRightInd w:val="0"/>
        <w:spacing w:line="360" w:lineRule="auto"/>
        <w:ind w:left="277" w:right="18"/>
        <w:jc w:val="center"/>
        <w:rPr>
          <w:b/>
          <w:sz w:val="28"/>
          <w:szCs w:val="28"/>
        </w:rPr>
      </w:pPr>
    </w:p>
    <w:p w:rsidR="00A24B9D" w:rsidRDefault="00A24B9D" w:rsidP="00BD4422">
      <w:pPr>
        <w:tabs>
          <w:tab w:val="left" w:pos="720"/>
        </w:tabs>
        <w:autoSpaceDE w:val="0"/>
        <w:autoSpaceDN w:val="0"/>
        <w:adjustRightInd w:val="0"/>
        <w:spacing w:line="360" w:lineRule="auto"/>
        <w:ind w:left="277" w:right="18"/>
        <w:jc w:val="center"/>
        <w:rPr>
          <w:b/>
          <w:sz w:val="28"/>
          <w:szCs w:val="28"/>
        </w:rPr>
      </w:pPr>
    </w:p>
    <w:p w:rsidR="00C27479" w:rsidRDefault="00C27479" w:rsidP="00BD4422">
      <w:pPr>
        <w:tabs>
          <w:tab w:val="left" w:pos="720"/>
        </w:tabs>
        <w:autoSpaceDE w:val="0"/>
        <w:autoSpaceDN w:val="0"/>
        <w:adjustRightInd w:val="0"/>
        <w:spacing w:line="360" w:lineRule="auto"/>
        <w:ind w:left="277" w:right="18"/>
        <w:jc w:val="center"/>
        <w:rPr>
          <w:b/>
          <w:sz w:val="28"/>
          <w:szCs w:val="28"/>
        </w:rPr>
      </w:pPr>
    </w:p>
    <w:p w:rsidR="00A24B9D" w:rsidRDefault="00A24B9D" w:rsidP="00BD4422">
      <w:pPr>
        <w:tabs>
          <w:tab w:val="left" w:pos="720"/>
        </w:tabs>
        <w:autoSpaceDE w:val="0"/>
        <w:autoSpaceDN w:val="0"/>
        <w:adjustRightInd w:val="0"/>
        <w:spacing w:line="360" w:lineRule="auto"/>
        <w:ind w:left="277" w:right="18"/>
        <w:jc w:val="center"/>
        <w:rPr>
          <w:b/>
          <w:sz w:val="28"/>
          <w:szCs w:val="28"/>
        </w:rPr>
      </w:pPr>
    </w:p>
    <w:p w:rsidR="00A24B9D" w:rsidRDefault="00A24B9D" w:rsidP="00BD4422">
      <w:pPr>
        <w:tabs>
          <w:tab w:val="left" w:pos="720"/>
        </w:tabs>
        <w:autoSpaceDE w:val="0"/>
        <w:autoSpaceDN w:val="0"/>
        <w:adjustRightInd w:val="0"/>
        <w:spacing w:line="360" w:lineRule="auto"/>
        <w:ind w:left="277" w:right="18"/>
        <w:jc w:val="center"/>
        <w:rPr>
          <w:b/>
          <w:sz w:val="28"/>
          <w:szCs w:val="28"/>
        </w:rPr>
      </w:pPr>
    </w:p>
    <w:p w:rsidR="00A24B9D" w:rsidRDefault="00A24B9D" w:rsidP="00BD4422">
      <w:pPr>
        <w:tabs>
          <w:tab w:val="left" w:pos="720"/>
        </w:tabs>
        <w:autoSpaceDE w:val="0"/>
        <w:autoSpaceDN w:val="0"/>
        <w:adjustRightInd w:val="0"/>
        <w:spacing w:line="360" w:lineRule="auto"/>
        <w:ind w:left="277" w:right="18"/>
        <w:jc w:val="center"/>
        <w:rPr>
          <w:b/>
          <w:sz w:val="28"/>
          <w:szCs w:val="28"/>
        </w:rPr>
      </w:pPr>
    </w:p>
    <w:p w:rsidR="00E4032A" w:rsidRDefault="00E4032A" w:rsidP="00BD4422">
      <w:pPr>
        <w:tabs>
          <w:tab w:val="left" w:pos="720"/>
        </w:tabs>
        <w:autoSpaceDE w:val="0"/>
        <w:autoSpaceDN w:val="0"/>
        <w:adjustRightInd w:val="0"/>
        <w:spacing w:line="360" w:lineRule="auto"/>
        <w:ind w:left="277" w:right="18"/>
        <w:jc w:val="center"/>
        <w:rPr>
          <w:b/>
          <w:sz w:val="28"/>
          <w:szCs w:val="28"/>
        </w:rPr>
      </w:pPr>
      <w:r w:rsidRPr="00A24B9D">
        <w:rPr>
          <w:b/>
          <w:sz w:val="28"/>
          <w:szCs w:val="28"/>
        </w:rPr>
        <w:t>ANKARA-20</w:t>
      </w:r>
      <w:r w:rsidR="002B38D7" w:rsidRPr="00A24B9D">
        <w:rPr>
          <w:b/>
          <w:sz w:val="28"/>
          <w:szCs w:val="28"/>
        </w:rPr>
        <w:t>1</w:t>
      </w:r>
      <w:r w:rsidR="00C27479">
        <w:rPr>
          <w:b/>
          <w:sz w:val="28"/>
          <w:szCs w:val="28"/>
        </w:rPr>
        <w:t>2</w:t>
      </w:r>
    </w:p>
    <w:p w:rsidR="00A24B9D" w:rsidRDefault="00A24B9D" w:rsidP="00A24B9D">
      <w:pPr>
        <w:spacing w:line="360" w:lineRule="auto"/>
        <w:jc w:val="center"/>
        <w:rPr>
          <w:lang w:val="tr-TR"/>
        </w:rPr>
      </w:pPr>
      <w:r w:rsidRPr="00FD7089">
        <w:rPr>
          <w:lang w:val="tr-TR"/>
        </w:rPr>
        <w:object w:dxaOrig="1865" w:dyaOrig="1531">
          <v:shape id="_x0000_i1026" type="#_x0000_t75" style="width:62.65pt;height:53.35pt" o:ole="" fillcolor="window">
            <v:imagedata r:id="rId7" o:title=""/>
          </v:shape>
          <o:OLEObject Type="Embed" ProgID="CDraw4" ShapeID="_x0000_i1026" DrawAspect="Content" ObjectID="_1393622098" r:id="rId9">
            <o:FieldCodes>\s \* mergeformat</o:FieldCodes>
          </o:OLEObject>
        </w:object>
      </w:r>
    </w:p>
    <w:p w:rsidR="00A24B9D" w:rsidRPr="00A24B9D" w:rsidRDefault="00A24B9D" w:rsidP="00A24B9D">
      <w:pPr>
        <w:tabs>
          <w:tab w:val="left" w:pos="720"/>
          <w:tab w:val="center" w:pos="4535"/>
        </w:tabs>
        <w:jc w:val="center"/>
        <w:rPr>
          <w:b/>
          <w:bCs/>
          <w:sz w:val="28"/>
          <w:szCs w:val="28"/>
          <w:lang w:val="tr-TR"/>
        </w:rPr>
      </w:pPr>
      <w:r w:rsidRPr="00A24B9D">
        <w:rPr>
          <w:b/>
          <w:bCs/>
          <w:sz w:val="28"/>
          <w:szCs w:val="28"/>
          <w:lang w:val="tr-TR"/>
        </w:rPr>
        <w:t>BAŞKENT ÜNİVERSİTESİ</w:t>
      </w:r>
    </w:p>
    <w:p w:rsidR="00A24B9D" w:rsidRPr="00A24B9D" w:rsidRDefault="00A24B9D" w:rsidP="00A24B9D">
      <w:pPr>
        <w:spacing w:line="360" w:lineRule="auto"/>
        <w:jc w:val="center"/>
        <w:rPr>
          <w:sz w:val="28"/>
          <w:szCs w:val="28"/>
          <w:lang w:val="tr-TR"/>
        </w:rPr>
      </w:pPr>
      <w:r w:rsidRPr="00A24B9D">
        <w:rPr>
          <w:b/>
          <w:bCs/>
          <w:sz w:val="28"/>
          <w:szCs w:val="28"/>
          <w:lang w:val="tr-TR"/>
        </w:rPr>
        <w:t>TIP FAKÜLTESİ</w:t>
      </w:r>
    </w:p>
    <w:p w:rsidR="00A24B9D" w:rsidRPr="00A24B9D" w:rsidRDefault="00A24B9D" w:rsidP="00A24B9D">
      <w:pPr>
        <w:spacing w:line="360" w:lineRule="auto"/>
        <w:jc w:val="center"/>
        <w:rPr>
          <w:b/>
          <w:sz w:val="28"/>
          <w:szCs w:val="28"/>
          <w:lang w:val="tr-TR"/>
        </w:rPr>
      </w:pPr>
      <w:r w:rsidRPr="00A24B9D">
        <w:rPr>
          <w:b/>
          <w:sz w:val="28"/>
          <w:szCs w:val="28"/>
          <w:lang w:val="tr-TR"/>
        </w:rPr>
        <w:t>İÇ HASTALIKLARI ANABİLİM DALI</w:t>
      </w:r>
    </w:p>
    <w:p w:rsidR="00A24B9D" w:rsidRPr="00A24B9D" w:rsidRDefault="00A24B9D" w:rsidP="00A24B9D">
      <w:pPr>
        <w:spacing w:line="360" w:lineRule="auto"/>
        <w:jc w:val="center"/>
        <w:rPr>
          <w:b/>
          <w:sz w:val="28"/>
          <w:szCs w:val="28"/>
          <w:lang w:val="tr-TR"/>
        </w:rPr>
      </w:pPr>
      <w:r w:rsidRPr="00A24B9D">
        <w:rPr>
          <w:b/>
          <w:sz w:val="28"/>
          <w:szCs w:val="28"/>
          <w:lang w:val="tr-TR"/>
        </w:rPr>
        <w:t>TIBBİ ONKOLOJİ BİLİM DALI</w:t>
      </w:r>
    </w:p>
    <w:p w:rsidR="00A24B9D" w:rsidRPr="00A24B9D" w:rsidRDefault="00A24B9D" w:rsidP="00A24B9D">
      <w:pPr>
        <w:spacing w:line="360" w:lineRule="auto"/>
        <w:jc w:val="center"/>
        <w:rPr>
          <w:b/>
          <w:sz w:val="28"/>
          <w:szCs w:val="28"/>
          <w:lang w:val="tr-TR"/>
        </w:rPr>
      </w:pPr>
    </w:p>
    <w:p w:rsidR="00A24B9D" w:rsidRPr="00A24B9D" w:rsidRDefault="00A24B9D" w:rsidP="00A24B9D">
      <w:pPr>
        <w:spacing w:line="360" w:lineRule="auto"/>
        <w:jc w:val="center"/>
        <w:rPr>
          <w:b/>
          <w:sz w:val="28"/>
          <w:szCs w:val="28"/>
          <w:lang w:val="tr-TR"/>
        </w:rPr>
      </w:pPr>
    </w:p>
    <w:p w:rsidR="00C27479" w:rsidRDefault="00C27479" w:rsidP="00C27479">
      <w:pPr>
        <w:tabs>
          <w:tab w:val="left" w:pos="720"/>
        </w:tabs>
        <w:autoSpaceDE w:val="0"/>
        <w:autoSpaceDN w:val="0"/>
        <w:adjustRightInd w:val="0"/>
        <w:spacing w:line="360" w:lineRule="auto"/>
        <w:ind w:left="277" w:right="18"/>
        <w:jc w:val="center"/>
        <w:rPr>
          <w:b/>
          <w:sz w:val="28"/>
          <w:szCs w:val="28"/>
        </w:rPr>
      </w:pPr>
      <w:r>
        <w:rPr>
          <w:b/>
          <w:sz w:val="28"/>
          <w:szCs w:val="28"/>
        </w:rPr>
        <w:t>METASTATİK KOLOREKTAL KARSİNOMLU HASTALARDA BEVAC</w:t>
      </w:r>
      <w:r w:rsidR="00316180">
        <w:rPr>
          <w:b/>
          <w:sz w:val="28"/>
          <w:szCs w:val="28"/>
        </w:rPr>
        <w:t>I</w:t>
      </w:r>
      <w:r>
        <w:rPr>
          <w:b/>
          <w:sz w:val="28"/>
          <w:szCs w:val="28"/>
        </w:rPr>
        <w:t xml:space="preserve">ZUMAB KULLANIMININ HİPERTANSİYON GELİŞMESİ VE SERUM VASKÜLER ENDOTELYAL </w:t>
      </w:r>
      <w:r w:rsidR="00E36B30">
        <w:rPr>
          <w:b/>
          <w:sz w:val="28"/>
          <w:szCs w:val="28"/>
        </w:rPr>
        <w:t>BÜYÜME</w:t>
      </w:r>
      <w:r w:rsidR="00C472F6">
        <w:rPr>
          <w:b/>
          <w:sz w:val="28"/>
          <w:szCs w:val="28"/>
        </w:rPr>
        <w:t xml:space="preserve"> </w:t>
      </w:r>
      <w:r>
        <w:rPr>
          <w:b/>
          <w:sz w:val="28"/>
          <w:szCs w:val="28"/>
        </w:rPr>
        <w:t>FAKTÖR</w:t>
      </w:r>
      <w:r w:rsidR="00E36B30">
        <w:rPr>
          <w:b/>
          <w:sz w:val="28"/>
          <w:szCs w:val="28"/>
        </w:rPr>
        <w:t>Ü</w:t>
      </w:r>
      <w:r>
        <w:rPr>
          <w:b/>
          <w:sz w:val="28"/>
          <w:szCs w:val="28"/>
        </w:rPr>
        <w:t>, NİTRİK OKSİT, AN</w:t>
      </w:r>
      <w:r w:rsidR="00E36B30">
        <w:rPr>
          <w:b/>
          <w:sz w:val="28"/>
          <w:szCs w:val="28"/>
        </w:rPr>
        <w:t>J</w:t>
      </w:r>
      <w:r>
        <w:rPr>
          <w:b/>
          <w:sz w:val="28"/>
          <w:szCs w:val="28"/>
        </w:rPr>
        <w:t>İ</w:t>
      </w:r>
      <w:r w:rsidR="00E36B30">
        <w:rPr>
          <w:b/>
          <w:sz w:val="28"/>
          <w:szCs w:val="28"/>
        </w:rPr>
        <w:t>Y</w:t>
      </w:r>
      <w:r>
        <w:rPr>
          <w:b/>
          <w:sz w:val="28"/>
          <w:szCs w:val="28"/>
        </w:rPr>
        <w:t>OTENSİN II DÜZEYLERİ ÜZERİNDEKİ ETKİSİ VE TEDAVİYE YANIT İLE OLAN İLİŞKİSİ</w:t>
      </w:r>
    </w:p>
    <w:p w:rsidR="00A24B9D" w:rsidRDefault="00A24B9D" w:rsidP="00A24B9D">
      <w:pPr>
        <w:tabs>
          <w:tab w:val="left" w:pos="720"/>
        </w:tabs>
        <w:autoSpaceDE w:val="0"/>
        <w:autoSpaceDN w:val="0"/>
        <w:adjustRightInd w:val="0"/>
        <w:spacing w:line="360" w:lineRule="auto"/>
        <w:ind w:left="277" w:right="18"/>
        <w:jc w:val="center"/>
        <w:rPr>
          <w:b/>
          <w:sz w:val="28"/>
          <w:szCs w:val="28"/>
        </w:rPr>
      </w:pPr>
    </w:p>
    <w:p w:rsidR="00DB619B" w:rsidRPr="00A24B9D" w:rsidRDefault="00DB619B" w:rsidP="00A24B9D">
      <w:pPr>
        <w:tabs>
          <w:tab w:val="left" w:pos="720"/>
        </w:tabs>
        <w:autoSpaceDE w:val="0"/>
        <w:autoSpaceDN w:val="0"/>
        <w:adjustRightInd w:val="0"/>
        <w:spacing w:line="360" w:lineRule="auto"/>
        <w:ind w:left="277" w:right="18"/>
        <w:jc w:val="center"/>
        <w:rPr>
          <w:b/>
          <w:sz w:val="28"/>
          <w:szCs w:val="28"/>
        </w:rPr>
      </w:pPr>
    </w:p>
    <w:p w:rsidR="00A24B9D" w:rsidRPr="00A24B9D" w:rsidRDefault="00A24B9D" w:rsidP="00A24B9D">
      <w:pPr>
        <w:tabs>
          <w:tab w:val="left" w:pos="720"/>
        </w:tabs>
        <w:autoSpaceDE w:val="0"/>
        <w:autoSpaceDN w:val="0"/>
        <w:adjustRightInd w:val="0"/>
        <w:spacing w:line="360" w:lineRule="auto"/>
        <w:ind w:left="277" w:right="18"/>
        <w:jc w:val="center"/>
        <w:rPr>
          <w:b/>
          <w:sz w:val="28"/>
          <w:szCs w:val="28"/>
        </w:rPr>
      </w:pPr>
    </w:p>
    <w:p w:rsidR="00A24B9D" w:rsidRPr="00A24B9D" w:rsidRDefault="00A24B9D" w:rsidP="00A24B9D">
      <w:pPr>
        <w:tabs>
          <w:tab w:val="left" w:pos="720"/>
        </w:tabs>
        <w:autoSpaceDE w:val="0"/>
        <w:autoSpaceDN w:val="0"/>
        <w:adjustRightInd w:val="0"/>
        <w:spacing w:line="360" w:lineRule="auto"/>
        <w:ind w:left="277" w:right="18"/>
        <w:jc w:val="center"/>
        <w:rPr>
          <w:b/>
          <w:sz w:val="28"/>
          <w:szCs w:val="28"/>
        </w:rPr>
      </w:pPr>
      <w:r w:rsidRPr="00A24B9D">
        <w:rPr>
          <w:b/>
          <w:sz w:val="28"/>
          <w:szCs w:val="28"/>
        </w:rPr>
        <w:t>YANDAL UZMANLIK TEZİ</w:t>
      </w:r>
    </w:p>
    <w:p w:rsidR="00A24B9D" w:rsidRPr="00A24B9D" w:rsidRDefault="00A24B9D" w:rsidP="00A24B9D">
      <w:pPr>
        <w:tabs>
          <w:tab w:val="left" w:pos="720"/>
        </w:tabs>
        <w:autoSpaceDE w:val="0"/>
        <w:autoSpaceDN w:val="0"/>
        <w:adjustRightInd w:val="0"/>
        <w:spacing w:line="360" w:lineRule="auto"/>
        <w:ind w:left="277" w:right="18"/>
        <w:jc w:val="center"/>
        <w:rPr>
          <w:b/>
          <w:sz w:val="28"/>
          <w:szCs w:val="28"/>
        </w:rPr>
      </w:pPr>
      <w:r w:rsidRPr="00A24B9D">
        <w:rPr>
          <w:b/>
          <w:sz w:val="28"/>
          <w:szCs w:val="28"/>
        </w:rPr>
        <w:t xml:space="preserve">Dr. </w:t>
      </w:r>
      <w:r w:rsidR="00C27479">
        <w:rPr>
          <w:b/>
          <w:sz w:val="28"/>
          <w:szCs w:val="28"/>
        </w:rPr>
        <w:t>Ahmet Taner Sümbül</w:t>
      </w:r>
    </w:p>
    <w:p w:rsidR="00A24B9D" w:rsidRPr="00A24B9D" w:rsidRDefault="00A24B9D" w:rsidP="00A24B9D">
      <w:pPr>
        <w:tabs>
          <w:tab w:val="left" w:pos="720"/>
        </w:tabs>
        <w:autoSpaceDE w:val="0"/>
        <w:autoSpaceDN w:val="0"/>
        <w:adjustRightInd w:val="0"/>
        <w:spacing w:line="360" w:lineRule="auto"/>
        <w:ind w:left="277" w:right="18"/>
        <w:jc w:val="center"/>
        <w:rPr>
          <w:b/>
          <w:sz w:val="28"/>
          <w:szCs w:val="28"/>
        </w:rPr>
      </w:pPr>
    </w:p>
    <w:p w:rsidR="00A24B9D" w:rsidRPr="00A24B9D" w:rsidRDefault="00A24B9D" w:rsidP="00A24B9D">
      <w:pPr>
        <w:tabs>
          <w:tab w:val="left" w:pos="720"/>
        </w:tabs>
        <w:autoSpaceDE w:val="0"/>
        <w:autoSpaceDN w:val="0"/>
        <w:adjustRightInd w:val="0"/>
        <w:spacing w:line="360" w:lineRule="auto"/>
        <w:ind w:left="277" w:right="18"/>
        <w:jc w:val="center"/>
        <w:rPr>
          <w:b/>
          <w:sz w:val="28"/>
          <w:szCs w:val="28"/>
        </w:rPr>
      </w:pPr>
    </w:p>
    <w:p w:rsidR="00A24B9D" w:rsidRDefault="00A24B9D" w:rsidP="00A24B9D">
      <w:pPr>
        <w:tabs>
          <w:tab w:val="left" w:pos="720"/>
        </w:tabs>
        <w:autoSpaceDE w:val="0"/>
        <w:autoSpaceDN w:val="0"/>
        <w:adjustRightInd w:val="0"/>
        <w:spacing w:line="360" w:lineRule="auto"/>
        <w:ind w:left="277" w:right="18"/>
        <w:jc w:val="center"/>
        <w:rPr>
          <w:b/>
          <w:sz w:val="28"/>
          <w:szCs w:val="28"/>
        </w:rPr>
      </w:pPr>
    </w:p>
    <w:p w:rsidR="00DB619B" w:rsidRPr="00A24B9D" w:rsidRDefault="00DB619B" w:rsidP="00A24B9D">
      <w:pPr>
        <w:tabs>
          <w:tab w:val="left" w:pos="720"/>
        </w:tabs>
        <w:autoSpaceDE w:val="0"/>
        <w:autoSpaceDN w:val="0"/>
        <w:adjustRightInd w:val="0"/>
        <w:spacing w:line="360" w:lineRule="auto"/>
        <w:ind w:left="277" w:right="18"/>
        <w:jc w:val="center"/>
        <w:rPr>
          <w:b/>
          <w:sz w:val="28"/>
          <w:szCs w:val="28"/>
        </w:rPr>
      </w:pPr>
    </w:p>
    <w:p w:rsidR="00A24B9D" w:rsidRPr="00A24B9D" w:rsidRDefault="00A24B9D" w:rsidP="00A24B9D">
      <w:pPr>
        <w:tabs>
          <w:tab w:val="left" w:pos="720"/>
        </w:tabs>
        <w:autoSpaceDE w:val="0"/>
        <w:autoSpaceDN w:val="0"/>
        <w:adjustRightInd w:val="0"/>
        <w:spacing w:line="360" w:lineRule="auto"/>
        <w:ind w:left="277" w:right="18"/>
        <w:jc w:val="center"/>
        <w:rPr>
          <w:b/>
          <w:sz w:val="28"/>
          <w:szCs w:val="28"/>
        </w:rPr>
      </w:pPr>
      <w:r w:rsidRPr="00A24B9D">
        <w:rPr>
          <w:b/>
          <w:sz w:val="28"/>
          <w:szCs w:val="28"/>
        </w:rPr>
        <w:t>TEZ DANIŞMANI</w:t>
      </w:r>
    </w:p>
    <w:p w:rsidR="00A24B9D" w:rsidRPr="00A24B9D" w:rsidRDefault="00873D00" w:rsidP="00A24B9D">
      <w:pPr>
        <w:tabs>
          <w:tab w:val="left" w:pos="720"/>
        </w:tabs>
        <w:autoSpaceDE w:val="0"/>
        <w:autoSpaceDN w:val="0"/>
        <w:adjustRightInd w:val="0"/>
        <w:spacing w:line="360" w:lineRule="auto"/>
        <w:ind w:left="277" w:right="18"/>
        <w:jc w:val="center"/>
        <w:rPr>
          <w:b/>
          <w:sz w:val="28"/>
          <w:szCs w:val="28"/>
        </w:rPr>
      </w:pPr>
      <w:r>
        <w:rPr>
          <w:b/>
          <w:sz w:val="28"/>
          <w:szCs w:val="28"/>
        </w:rPr>
        <w:t>Prof.</w:t>
      </w:r>
      <w:r w:rsidR="00A24B9D" w:rsidRPr="00A24B9D">
        <w:rPr>
          <w:b/>
          <w:sz w:val="28"/>
          <w:szCs w:val="28"/>
        </w:rPr>
        <w:t xml:space="preserve"> Dr. </w:t>
      </w:r>
      <w:r>
        <w:rPr>
          <w:b/>
          <w:sz w:val="28"/>
          <w:szCs w:val="28"/>
        </w:rPr>
        <w:t>Özgür Özyılkan</w:t>
      </w:r>
    </w:p>
    <w:p w:rsidR="00A24B9D" w:rsidRPr="00A24B9D" w:rsidRDefault="00A24B9D" w:rsidP="00A24B9D">
      <w:pPr>
        <w:tabs>
          <w:tab w:val="left" w:pos="720"/>
        </w:tabs>
        <w:autoSpaceDE w:val="0"/>
        <w:autoSpaceDN w:val="0"/>
        <w:adjustRightInd w:val="0"/>
        <w:spacing w:line="360" w:lineRule="auto"/>
        <w:ind w:left="277" w:right="18"/>
        <w:jc w:val="center"/>
        <w:rPr>
          <w:b/>
          <w:sz w:val="28"/>
          <w:szCs w:val="28"/>
        </w:rPr>
      </w:pPr>
    </w:p>
    <w:p w:rsidR="00A24B9D" w:rsidRDefault="00A24B9D" w:rsidP="00A24B9D">
      <w:pPr>
        <w:tabs>
          <w:tab w:val="left" w:pos="720"/>
        </w:tabs>
        <w:autoSpaceDE w:val="0"/>
        <w:autoSpaceDN w:val="0"/>
        <w:adjustRightInd w:val="0"/>
        <w:spacing w:line="360" w:lineRule="auto"/>
        <w:ind w:left="277" w:right="18"/>
        <w:jc w:val="center"/>
        <w:rPr>
          <w:b/>
          <w:sz w:val="28"/>
          <w:szCs w:val="28"/>
        </w:rPr>
      </w:pPr>
    </w:p>
    <w:p w:rsidR="00DB619B" w:rsidRPr="00A24B9D" w:rsidRDefault="00DB619B" w:rsidP="00A24B9D">
      <w:pPr>
        <w:tabs>
          <w:tab w:val="left" w:pos="720"/>
        </w:tabs>
        <w:autoSpaceDE w:val="0"/>
        <w:autoSpaceDN w:val="0"/>
        <w:adjustRightInd w:val="0"/>
        <w:spacing w:line="360" w:lineRule="auto"/>
        <w:ind w:left="277" w:right="18"/>
        <w:jc w:val="center"/>
        <w:rPr>
          <w:b/>
          <w:sz w:val="28"/>
          <w:szCs w:val="28"/>
        </w:rPr>
      </w:pPr>
    </w:p>
    <w:p w:rsidR="00A24B9D" w:rsidRPr="00A24B9D" w:rsidRDefault="00A24B9D" w:rsidP="00A24B9D">
      <w:pPr>
        <w:tabs>
          <w:tab w:val="left" w:pos="720"/>
        </w:tabs>
        <w:autoSpaceDE w:val="0"/>
        <w:autoSpaceDN w:val="0"/>
        <w:adjustRightInd w:val="0"/>
        <w:spacing w:line="360" w:lineRule="auto"/>
        <w:ind w:left="277" w:right="18"/>
        <w:jc w:val="center"/>
        <w:rPr>
          <w:b/>
          <w:sz w:val="28"/>
          <w:szCs w:val="28"/>
        </w:rPr>
      </w:pPr>
    </w:p>
    <w:p w:rsidR="00597B3F" w:rsidRDefault="00A24B9D" w:rsidP="00DB619B">
      <w:pPr>
        <w:tabs>
          <w:tab w:val="left" w:pos="720"/>
        </w:tabs>
        <w:autoSpaceDE w:val="0"/>
        <w:autoSpaceDN w:val="0"/>
        <w:adjustRightInd w:val="0"/>
        <w:spacing w:line="360" w:lineRule="auto"/>
        <w:ind w:left="277" w:right="18"/>
        <w:jc w:val="center"/>
        <w:rPr>
          <w:b/>
          <w:sz w:val="28"/>
          <w:szCs w:val="28"/>
        </w:rPr>
      </w:pPr>
      <w:r w:rsidRPr="00A24B9D">
        <w:rPr>
          <w:b/>
          <w:sz w:val="28"/>
          <w:szCs w:val="28"/>
        </w:rPr>
        <w:t>ANKARA-201</w:t>
      </w:r>
      <w:r w:rsidR="00C27479">
        <w:rPr>
          <w:b/>
          <w:sz w:val="28"/>
          <w:szCs w:val="28"/>
        </w:rPr>
        <w:t>2</w:t>
      </w:r>
    </w:p>
    <w:p w:rsidR="00392ED6" w:rsidRPr="00392ED6" w:rsidRDefault="00392ED6" w:rsidP="00392ED6">
      <w:pPr>
        <w:spacing w:before="240" w:after="60"/>
        <w:jc w:val="center"/>
        <w:outlineLvl w:val="0"/>
        <w:rPr>
          <w:b/>
          <w:bCs/>
          <w:kern w:val="28"/>
          <w:sz w:val="28"/>
          <w:szCs w:val="28"/>
          <w:lang w:val="tr-TR" w:eastAsia="tr-TR"/>
        </w:rPr>
      </w:pPr>
      <w:r w:rsidRPr="00392ED6">
        <w:rPr>
          <w:b/>
          <w:bCs/>
          <w:kern w:val="28"/>
          <w:sz w:val="28"/>
          <w:szCs w:val="28"/>
          <w:lang w:val="tr-TR" w:eastAsia="tr-TR"/>
        </w:rPr>
        <w:lastRenderedPageBreak/>
        <w:t>TEŞEKKÜR</w:t>
      </w:r>
    </w:p>
    <w:p w:rsidR="00392ED6" w:rsidRPr="00392ED6" w:rsidRDefault="00392ED6" w:rsidP="00392ED6">
      <w:pPr>
        <w:rPr>
          <w:lang w:val="tr-TR" w:eastAsia="tr-TR"/>
        </w:rPr>
      </w:pPr>
    </w:p>
    <w:p w:rsidR="00392ED6" w:rsidRPr="00392ED6" w:rsidRDefault="00392ED6" w:rsidP="00392ED6">
      <w:pPr>
        <w:spacing w:line="360" w:lineRule="auto"/>
        <w:jc w:val="both"/>
        <w:outlineLvl w:val="0"/>
        <w:rPr>
          <w:lang w:val="tr-TR" w:eastAsia="tr-TR"/>
        </w:rPr>
      </w:pPr>
      <w:r w:rsidRPr="00392ED6">
        <w:rPr>
          <w:b/>
          <w:sz w:val="28"/>
          <w:szCs w:val="28"/>
          <w:lang w:val="tr-TR" w:eastAsia="tr-TR"/>
        </w:rPr>
        <w:tab/>
      </w:r>
      <w:r w:rsidRPr="00392ED6">
        <w:rPr>
          <w:lang w:val="tr-TR" w:eastAsia="tr-TR"/>
        </w:rPr>
        <w:t xml:space="preserve">Tedirginlikle başladığım tıbbi onkoloji yan dal uzmanlık eğitim sürecinde bana her tür desteği vererek bugüne kadar edindiğim tüm tıp eğitimime yeni bir vizyon ekleyen onkolojiden sonsuz haz almama ve sonuçta iyiki tıbbi onkolog oldum dememe yol açan sevgili hocalarım Prof.Dr. Özgür Özyılkan, Prof.Dr. Hüseyin Abalı ve </w:t>
      </w:r>
      <w:proofErr w:type="gramStart"/>
      <w:r w:rsidRPr="00392ED6">
        <w:rPr>
          <w:lang w:val="tr-TR" w:eastAsia="tr-TR"/>
        </w:rPr>
        <w:t>Yard.Doç.</w:t>
      </w:r>
      <w:proofErr w:type="gramEnd"/>
      <w:r w:rsidRPr="00392ED6">
        <w:rPr>
          <w:lang w:val="tr-TR" w:eastAsia="tr-TR"/>
        </w:rPr>
        <w:t xml:space="preserve"> Dr. Umut Dişel’e, aynı bilim dalında beraber görev yaptığım ve karşılaştığım problemleri çözmemde yardımcı olan sevgili arkadaşlarım Dr. Ayberk Beşen, Dr. Cemile Karadeniz ve bilim dalımızdan uzmanlık eğitimini tamamlayan Dr. Hüseyin Mertsoylu, Dr. Ahmet Sezer ve Dr. Fatih Köse’ye, tez çalışmamda biyokimyasal incelemelerde bana çok büyük destekleri olan sayın Doç.Dr. Nurzen Sezgin’e  çok içten teşekkür ederim. </w:t>
      </w:r>
    </w:p>
    <w:p w:rsidR="00392ED6" w:rsidRPr="00392ED6" w:rsidRDefault="00392ED6" w:rsidP="00392ED6">
      <w:pPr>
        <w:spacing w:line="360" w:lineRule="auto"/>
        <w:jc w:val="both"/>
        <w:outlineLvl w:val="0"/>
        <w:rPr>
          <w:lang w:val="tr-TR" w:eastAsia="tr-TR"/>
        </w:rPr>
      </w:pPr>
      <w:r w:rsidRPr="00392ED6">
        <w:rPr>
          <w:lang w:val="tr-TR" w:eastAsia="tr-TR"/>
        </w:rPr>
        <w:tab/>
        <w:t xml:space="preserve">Görev yaptığım Başkent Üniversitesi Adana Uygulama Araştırma Merkezi’nin tüm imkanlarıyla eğitimime katkı sağlayan Kurucu Rektörümüz Sayın Prof.Dr. Mehmet Haberal’a ve Merkez Müdürümüz </w:t>
      </w:r>
      <w:proofErr w:type="gramStart"/>
      <w:r w:rsidRPr="00392ED6">
        <w:rPr>
          <w:lang w:val="tr-TR" w:eastAsia="tr-TR"/>
        </w:rPr>
        <w:t>Yard.Doç.Dr</w:t>
      </w:r>
      <w:proofErr w:type="gramEnd"/>
      <w:r w:rsidRPr="00392ED6">
        <w:rPr>
          <w:lang w:val="tr-TR" w:eastAsia="tr-TR"/>
        </w:rPr>
        <w:t>. Turgut Noyan’a ve tez çalışmamda maddi desteği sağlayan Tıbbi Onkoloji Derneği’ne teşekkürü bir borç bilirim.</w:t>
      </w:r>
    </w:p>
    <w:p w:rsidR="00392ED6" w:rsidRPr="00392ED6" w:rsidRDefault="00392ED6" w:rsidP="00392ED6">
      <w:pPr>
        <w:spacing w:line="360" w:lineRule="auto"/>
        <w:ind w:firstLine="709"/>
        <w:jc w:val="both"/>
        <w:outlineLvl w:val="0"/>
        <w:rPr>
          <w:lang w:val="tr-TR" w:eastAsia="tr-TR"/>
        </w:rPr>
      </w:pPr>
      <w:r w:rsidRPr="00392ED6">
        <w:rPr>
          <w:lang w:val="tr-TR" w:eastAsia="tr-TR"/>
        </w:rPr>
        <w:t>Ayrıca hayata gözlerimi açtığım ilk andan itibaren bana her türlü sınırsız maddi manevi desteği sunan başarılarımda benden daha çok sevinen ve kendimi daha güçlü hissetmemi sağlayan sevgili anne ve babama ve halen bana tahammül edip sevgisini benden esirgemeyen güleryüzlü eşime teşekkür ederim.</w:t>
      </w:r>
    </w:p>
    <w:p w:rsidR="00392ED6" w:rsidRPr="00392ED6" w:rsidRDefault="00392ED6" w:rsidP="00392ED6">
      <w:pPr>
        <w:spacing w:line="360" w:lineRule="auto"/>
        <w:jc w:val="both"/>
        <w:outlineLvl w:val="0"/>
        <w:rPr>
          <w:lang w:val="tr-TR" w:eastAsia="tr-TR"/>
        </w:rPr>
      </w:pPr>
      <w:r w:rsidRPr="00392ED6">
        <w:rPr>
          <w:lang w:val="tr-TR" w:eastAsia="tr-TR"/>
        </w:rPr>
        <w:tab/>
      </w:r>
    </w:p>
    <w:p w:rsidR="00392ED6" w:rsidRPr="00392ED6" w:rsidRDefault="00392ED6" w:rsidP="00392ED6">
      <w:pPr>
        <w:spacing w:line="360" w:lineRule="auto"/>
        <w:jc w:val="both"/>
        <w:outlineLvl w:val="0"/>
        <w:rPr>
          <w:lang w:val="tr-TR" w:eastAsia="tr-TR"/>
        </w:rPr>
      </w:pPr>
      <w:r w:rsidRPr="00392ED6">
        <w:rPr>
          <w:lang w:val="tr-TR" w:eastAsia="tr-TR"/>
        </w:rPr>
        <w:t>Not: Tez projesi için ihtiyaç duyulan maddi kaynak Tıbbi Onkoloji Derneği tarafından sağlanmıştır.</w:t>
      </w:r>
    </w:p>
    <w:p w:rsidR="00392ED6" w:rsidRPr="00392ED6" w:rsidRDefault="00392ED6" w:rsidP="00392ED6">
      <w:pPr>
        <w:spacing w:line="360" w:lineRule="auto"/>
        <w:jc w:val="both"/>
        <w:outlineLvl w:val="0"/>
        <w:rPr>
          <w:lang w:val="tr-TR" w:eastAsia="tr-TR"/>
        </w:rPr>
      </w:pPr>
      <w:r w:rsidRPr="00392ED6">
        <w:rPr>
          <w:lang w:val="tr-TR" w:eastAsia="tr-TR"/>
        </w:rPr>
        <w:tab/>
      </w:r>
    </w:p>
    <w:p w:rsidR="00392ED6" w:rsidRPr="00392ED6" w:rsidRDefault="00392ED6" w:rsidP="00392ED6">
      <w:pPr>
        <w:spacing w:line="360" w:lineRule="auto"/>
        <w:jc w:val="both"/>
        <w:outlineLvl w:val="0"/>
        <w:rPr>
          <w:lang w:val="tr-TR" w:eastAsia="tr-TR"/>
        </w:rPr>
      </w:pPr>
      <w:r w:rsidRPr="00392ED6">
        <w:rPr>
          <w:lang w:val="tr-TR" w:eastAsia="tr-TR"/>
        </w:rPr>
        <w:tab/>
      </w:r>
    </w:p>
    <w:p w:rsidR="00392ED6" w:rsidRPr="00392ED6" w:rsidRDefault="00392ED6" w:rsidP="00392ED6">
      <w:pPr>
        <w:spacing w:line="360" w:lineRule="auto"/>
        <w:jc w:val="both"/>
        <w:outlineLvl w:val="0"/>
        <w:rPr>
          <w:b/>
          <w:lang w:val="tr-TR" w:eastAsia="tr-TR"/>
        </w:rPr>
      </w:pPr>
      <w:r w:rsidRPr="00392ED6">
        <w:rPr>
          <w:b/>
          <w:lang w:val="tr-TR" w:eastAsia="tr-TR"/>
        </w:rPr>
        <w:tab/>
      </w:r>
      <w:r w:rsidRPr="00392ED6">
        <w:rPr>
          <w:b/>
          <w:lang w:val="tr-TR" w:eastAsia="tr-TR"/>
        </w:rPr>
        <w:tab/>
      </w:r>
      <w:r w:rsidRPr="00392ED6">
        <w:rPr>
          <w:b/>
          <w:lang w:val="tr-TR" w:eastAsia="tr-TR"/>
        </w:rPr>
        <w:tab/>
      </w:r>
      <w:r w:rsidRPr="00392ED6">
        <w:rPr>
          <w:b/>
          <w:lang w:val="tr-TR" w:eastAsia="tr-TR"/>
        </w:rPr>
        <w:tab/>
      </w:r>
      <w:r w:rsidRPr="00392ED6">
        <w:rPr>
          <w:b/>
          <w:lang w:val="tr-TR" w:eastAsia="tr-TR"/>
        </w:rPr>
        <w:tab/>
      </w:r>
      <w:r w:rsidRPr="00392ED6">
        <w:rPr>
          <w:b/>
          <w:lang w:val="tr-TR" w:eastAsia="tr-TR"/>
        </w:rPr>
        <w:tab/>
      </w:r>
      <w:r w:rsidRPr="00392ED6">
        <w:rPr>
          <w:b/>
          <w:lang w:val="tr-TR" w:eastAsia="tr-TR"/>
        </w:rPr>
        <w:tab/>
      </w:r>
      <w:r w:rsidRPr="00392ED6">
        <w:rPr>
          <w:b/>
          <w:lang w:val="tr-TR" w:eastAsia="tr-TR"/>
        </w:rPr>
        <w:tab/>
      </w:r>
    </w:p>
    <w:p w:rsidR="00392ED6" w:rsidRPr="00392ED6" w:rsidRDefault="00392ED6" w:rsidP="00392ED6">
      <w:pPr>
        <w:spacing w:line="360" w:lineRule="auto"/>
        <w:ind w:left="4963" w:firstLine="709"/>
        <w:jc w:val="right"/>
        <w:outlineLvl w:val="0"/>
        <w:rPr>
          <w:b/>
          <w:lang w:val="tr-TR" w:eastAsia="tr-TR"/>
        </w:rPr>
      </w:pPr>
      <w:r w:rsidRPr="00392ED6">
        <w:rPr>
          <w:lang w:val="tr-TR" w:eastAsia="tr-TR"/>
        </w:rPr>
        <w:t>Uz. Dr. Ahmet Taner Sümbül</w:t>
      </w:r>
    </w:p>
    <w:p w:rsidR="00392ED6" w:rsidRDefault="00E36B30" w:rsidP="00392ED6">
      <w:pPr>
        <w:spacing w:line="360" w:lineRule="auto"/>
        <w:ind w:left="5672"/>
        <w:jc w:val="right"/>
        <w:rPr>
          <w:lang w:val="tr-TR" w:eastAsia="tr-TR"/>
        </w:rPr>
      </w:pPr>
      <w:r>
        <w:rPr>
          <w:lang w:val="tr-TR" w:eastAsia="tr-TR"/>
        </w:rPr>
        <w:t>Şubat 2011</w:t>
      </w:r>
    </w:p>
    <w:p w:rsidR="00E36B30" w:rsidRPr="00392ED6" w:rsidRDefault="00E36B30" w:rsidP="00392ED6">
      <w:pPr>
        <w:spacing w:line="360" w:lineRule="auto"/>
        <w:ind w:left="5672"/>
        <w:jc w:val="right"/>
        <w:rPr>
          <w:lang w:val="tr-TR" w:eastAsia="tr-TR"/>
        </w:rPr>
      </w:pPr>
    </w:p>
    <w:p w:rsidR="00392ED6" w:rsidRPr="00392ED6" w:rsidRDefault="00392ED6" w:rsidP="00392ED6">
      <w:pPr>
        <w:spacing w:line="360" w:lineRule="auto"/>
        <w:ind w:firstLine="708"/>
        <w:jc w:val="both"/>
        <w:rPr>
          <w:rFonts w:eastAsia="Calibri"/>
          <w:b/>
          <w:sz w:val="28"/>
          <w:szCs w:val="28"/>
          <w:lang w:val="tr-TR"/>
        </w:rPr>
      </w:pPr>
      <w:r w:rsidRPr="00392ED6">
        <w:rPr>
          <w:lang w:val="tr-TR" w:eastAsia="tr-TR"/>
        </w:rPr>
        <w:br w:type="page"/>
      </w:r>
      <w:r w:rsidRPr="00392ED6">
        <w:rPr>
          <w:rFonts w:eastAsia="Calibri"/>
          <w:sz w:val="32"/>
          <w:szCs w:val="32"/>
          <w:lang w:val="tr-TR"/>
        </w:rPr>
        <w:lastRenderedPageBreak/>
        <w:t xml:space="preserve">                                        </w:t>
      </w:r>
      <w:r w:rsidRPr="00392ED6">
        <w:rPr>
          <w:rFonts w:eastAsia="Calibri"/>
          <w:b/>
          <w:sz w:val="28"/>
          <w:szCs w:val="28"/>
          <w:lang w:val="tr-TR"/>
        </w:rPr>
        <w:t>ÖZET</w:t>
      </w:r>
    </w:p>
    <w:p w:rsidR="00392ED6" w:rsidRPr="00392ED6" w:rsidRDefault="00392ED6" w:rsidP="00392ED6">
      <w:pPr>
        <w:tabs>
          <w:tab w:val="left" w:pos="720"/>
        </w:tabs>
        <w:autoSpaceDE w:val="0"/>
        <w:autoSpaceDN w:val="0"/>
        <w:adjustRightInd w:val="0"/>
        <w:spacing w:after="200" w:line="360" w:lineRule="auto"/>
        <w:ind w:left="277" w:right="18"/>
        <w:jc w:val="center"/>
        <w:rPr>
          <w:rFonts w:eastAsia="Calibri"/>
          <w:sz w:val="32"/>
          <w:szCs w:val="32"/>
          <w:lang w:val="tr-TR"/>
        </w:rPr>
      </w:pPr>
      <w:r w:rsidRPr="00392ED6">
        <w:rPr>
          <w:rFonts w:eastAsia="Calibri"/>
          <w:b/>
          <w:lang w:val="tr-TR"/>
        </w:rPr>
        <w:t xml:space="preserve">Metastatik kolorektal karsinomlu hastalarda Bevacizumab kullanımının hipertansiyon gelişmesi ve serum vasküler endotelyal </w:t>
      </w:r>
      <w:r w:rsidR="00E36B30">
        <w:rPr>
          <w:rFonts w:eastAsia="Calibri"/>
          <w:b/>
          <w:lang w:val="tr-TR"/>
        </w:rPr>
        <w:t>büyüme</w:t>
      </w:r>
      <w:r w:rsidRPr="00392ED6">
        <w:rPr>
          <w:rFonts w:eastAsia="Calibri"/>
          <w:b/>
          <w:lang w:val="tr-TR"/>
        </w:rPr>
        <w:t xml:space="preserve"> faktör</w:t>
      </w:r>
      <w:r w:rsidR="00E36B30">
        <w:rPr>
          <w:rFonts w:eastAsia="Calibri"/>
          <w:b/>
          <w:lang w:val="tr-TR"/>
        </w:rPr>
        <w:t>ü</w:t>
      </w:r>
      <w:r w:rsidRPr="00392ED6">
        <w:rPr>
          <w:rFonts w:eastAsia="Calibri"/>
          <w:b/>
          <w:lang w:val="tr-TR"/>
        </w:rPr>
        <w:t>, nitrik oksit, an</w:t>
      </w:r>
      <w:r w:rsidR="00E36B30">
        <w:rPr>
          <w:rFonts w:eastAsia="Calibri"/>
          <w:b/>
          <w:lang w:val="tr-TR"/>
        </w:rPr>
        <w:t>j</w:t>
      </w:r>
      <w:r w:rsidRPr="00392ED6">
        <w:rPr>
          <w:rFonts w:eastAsia="Calibri"/>
          <w:b/>
          <w:lang w:val="tr-TR"/>
        </w:rPr>
        <w:t>i</w:t>
      </w:r>
      <w:r w:rsidR="00E36B30">
        <w:rPr>
          <w:rFonts w:eastAsia="Calibri"/>
          <w:b/>
          <w:lang w:val="tr-TR"/>
        </w:rPr>
        <w:t>y</w:t>
      </w:r>
      <w:r w:rsidRPr="00392ED6">
        <w:rPr>
          <w:rFonts w:eastAsia="Calibri"/>
          <w:b/>
          <w:lang w:val="tr-TR"/>
        </w:rPr>
        <w:t>otensin II düzeyleri üzerindeki etkisi ve tedaviye yanıt ile olan ilişkisi</w:t>
      </w:r>
    </w:p>
    <w:p w:rsidR="00392ED6" w:rsidRPr="00392ED6" w:rsidRDefault="00392ED6" w:rsidP="00392ED6">
      <w:pPr>
        <w:spacing w:after="200" w:line="360" w:lineRule="auto"/>
        <w:ind w:firstLine="708"/>
        <w:jc w:val="both"/>
        <w:rPr>
          <w:rFonts w:eastAsia="Calibri"/>
          <w:sz w:val="22"/>
          <w:szCs w:val="22"/>
          <w:lang w:val="tr-TR"/>
        </w:rPr>
      </w:pPr>
      <w:r w:rsidRPr="00392ED6">
        <w:rPr>
          <w:rFonts w:eastAsia="Calibri"/>
          <w:sz w:val="22"/>
          <w:szCs w:val="22"/>
          <w:lang w:val="tr-TR"/>
        </w:rPr>
        <w:t xml:space="preserve">Kolorektal </w:t>
      </w:r>
      <w:proofErr w:type="gramStart"/>
      <w:r w:rsidRPr="00392ED6">
        <w:rPr>
          <w:rFonts w:eastAsia="Calibri"/>
          <w:sz w:val="22"/>
          <w:szCs w:val="22"/>
          <w:lang w:val="tr-TR"/>
        </w:rPr>
        <w:t>kanser  dünya</w:t>
      </w:r>
      <w:proofErr w:type="gramEnd"/>
      <w:r w:rsidRPr="00392ED6">
        <w:rPr>
          <w:rFonts w:eastAsia="Calibri"/>
          <w:sz w:val="22"/>
          <w:szCs w:val="22"/>
          <w:lang w:val="tr-TR"/>
        </w:rPr>
        <w:t xml:space="preserve"> genelinde en sık görülen üçüncü kanser olup akciğer kanserinden sonra en sık ölüme yol açan kanserdir(1,2,3) Kanserden ölümlerin yaklaşık %10’nunu oluşturur. Son 20 yılda tarama programları, tanısal yöntemlerdeki, moleküler onkolojide gelişmeler, daha etkin sitotoksik </w:t>
      </w:r>
      <w:proofErr w:type="gramStart"/>
      <w:r w:rsidRPr="00392ED6">
        <w:rPr>
          <w:rFonts w:eastAsia="Calibri"/>
          <w:sz w:val="22"/>
          <w:szCs w:val="22"/>
          <w:lang w:val="tr-TR"/>
        </w:rPr>
        <w:t>kemoterapiler</w:t>
      </w:r>
      <w:proofErr w:type="gramEnd"/>
      <w:r w:rsidRPr="00392ED6">
        <w:rPr>
          <w:rFonts w:eastAsia="Calibri"/>
          <w:sz w:val="22"/>
          <w:szCs w:val="22"/>
          <w:lang w:val="tr-TR"/>
        </w:rPr>
        <w:t xml:space="preserve">, hedefe yönelik tedaviler ve kişiye özgü tedavilerin ortaya çıkması ve daha yaygın kullanılmasıyla kolorektal kansere bağlı ölüm sıklığı belirgin olarak azalmıştır. Bu tedavilerden birisi olan bevacizumab her ne kadar bir sitostatik </w:t>
      </w:r>
      <w:proofErr w:type="gramStart"/>
      <w:r w:rsidRPr="00392ED6">
        <w:rPr>
          <w:rFonts w:eastAsia="Calibri"/>
          <w:sz w:val="22"/>
          <w:szCs w:val="22"/>
          <w:lang w:val="tr-TR"/>
        </w:rPr>
        <w:t>kemoterapi</w:t>
      </w:r>
      <w:proofErr w:type="gramEnd"/>
      <w:r w:rsidRPr="00392ED6">
        <w:rPr>
          <w:rFonts w:eastAsia="Calibri"/>
          <w:sz w:val="22"/>
          <w:szCs w:val="22"/>
          <w:lang w:val="tr-TR"/>
        </w:rPr>
        <w:t xml:space="preserve"> olmasa da mortaliteyle sonuçlanabilecek yan etkilere sahip bir moleküldür. </w:t>
      </w:r>
      <w:proofErr w:type="gramStart"/>
      <w:r w:rsidRPr="00392ED6">
        <w:rPr>
          <w:rFonts w:eastAsia="Calibri"/>
          <w:sz w:val="22"/>
          <w:szCs w:val="22"/>
          <w:lang w:val="tr-TR"/>
        </w:rPr>
        <w:t>Prognostik ve prediktif belirteçlerin hem sonlanım hem tedaviye yanıtın öngörülmesi hem de toksisitenin engellenmesi açısından önem kazandığı günümüzde biz de bevacizumab kullanan metastatik kolorektal kanserli hastalarda bevacizumab tedavisinin tedavi öncesi ve tedavinin 3. ayında seru</w:t>
      </w:r>
      <w:r w:rsidR="00E36B30">
        <w:rPr>
          <w:rFonts w:eastAsia="Calibri"/>
          <w:sz w:val="22"/>
          <w:szCs w:val="22"/>
          <w:lang w:val="tr-TR"/>
        </w:rPr>
        <w:t>m VEGF, Nitrik Oksit (NO) ve Anj</w:t>
      </w:r>
      <w:r w:rsidRPr="00392ED6">
        <w:rPr>
          <w:rFonts w:eastAsia="Calibri"/>
          <w:sz w:val="22"/>
          <w:szCs w:val="22"/>
          <w:lang w:val="tr-TR"/>
        </w:rPr>
        <w:t>i</w:t>
      </w:r>
      <w:r w:rsidR="00E36B30">
        <w:rPr>
          <w:rFonts w:eastAsia="Calibri"/>
          <w:sz w:val="22"/>
          <w:szCs w:val="22"/>
          <w:lang w:val="tr-TR"/>
        </w:rPr>
        <w:t>y</w:t>
      </w:r>
      <w:r w:rsidRPr="00392ED6">
        <w:rPr>
          <w:rFonts w:eastAsia="Calibri"/>
          <w:sz w:val="22"/>
          <w:szCs w:val="22"/>
          <w:lang w:val="tr-TR"/>
        </w:rPr>
        <w:t>otensin (Ang II) düzeyleri üzerindeki etkisine ayrıca bu durumun hipertansiyon gelişimiyle arasındaki ilişkisini ve tümör yanıtıyla olan ilişkisini araştırdık.</w:t>
      </w:r>
      <w:proofErr w:type="gramEnd"/>
    </w:p>
    <w:p w:rsidR="00392ED6" w:rsidRPr="00392ED6" w:rsidRDefault="00392ED6" w:rsidP="00392ED6">
      <w:pPr>
        <w:spacing w:after="200" w:line="360" w:lineRule="auto"/>
        <w:ind w:firstLine="708"/>
        <w:jc w:val="both"/>
        <w:rPr>
          <w:rFonts w:eastAsia="Calibri"/>
          <w:sz w:val="22"/>
          <w:szCs w:val="22"/>
          <w:lang w:val="tr-TR"/>
        </w:rPr>
      </w:pPr>
      <w:r w:rsidRPr="00392ED6">
        <w:rPr>
          <w:rFonts w:eastAsia="Calibri"/>
          <w:sz w:val="22"/>
          <w:szCs w:val="22"/>
          <w:lang w:val="tr-TR"/>
        </w:rPr>
        <w:t xml:space="preserve">Çalışmaya Başkent </w:t>
      </w:r>
      <w:proofErr w:type="gramStart"/>
      <w:r w:rsidRPr="00392ED6">
        <w:rPr>
          <w:rFonts w:eastAsia="Calibri"/>
          <w:sz w:val="22"/>
          <w:szCs w:val="22"/>
          <w:lang w:val="tr-TR"/>
        </w:rPr>
        <w:t>Üniversitesi  Adana</w:t>
      </w:r>
      <w:proofErr w:type="gramEnd"/>
      <w:r w:rsidRPr="00392ED6">
        <w:rPr>
          <w:rFonts w:eastAsia="Calibri"/>
          <w:sz w:val="22"/>
          <w:szCs w:val="22"/>
          <w:lang w:val="tr-TR"/>
        </w:rPr>
        <w:t xml:space="preserve"> Uygulama Araştırma Merkezinde takip edilen 24 metastatik kolorektal kanserli hasta dahil edildi. . Hastaların 15’i (%62,5) erkek, 9’u (%37,5) kadındı.</w:t>
      </w:r>
      <w:r w:rsidRPr="00392ED6">
        <w:rPr>
          <w:rFonts w:eastAsia="Calibri"/>
          <w:bCs/>
          <w:sz w:val="22"/>
          <w:szCs w:val="22"/>
          <w:lang w:val="tr-TR"/>
        </w:rPr>
        <w:t xml:space="preserve"> VEGF düzeyleri arasındaki değişim istatiksel olarak anlamlı olarak düşme eğilimi şeklinde saptanırken(p= 0,009), NO ve ANG II düzeyleri açısından istatiksel olarak anlamlı bir farklılık saptanmadı. 6 siklus tedavi sonrası VEGF düzeyleri tümör cevabıyla ilişkili olarak saptandı. (p= 0,014) Hastalar hipertansiyon gelişimi yönünden </w:t>
      </w:r>
      <w:proofErr w:type="gramStart"/>
      <w:r w:rsidRPr="00392ED6">
        <w:rPr>
          <w:rFonts w:eastAsia="Calibri"/>
          <w:bCs/>
          <w:sz w:val="22"/>
          <w:szCs w:val="22"/>
          <w:lang w:val="tr-TR"/>
        </w:rPr>
        <w:t xml:space="preserve">incelendiğinde </w:t>
      </w:r>
      <w:r w:rsidRPr="00392ED6">
        <w:rPr>
          <w:rFonts w:eastAsia="Calibri"/>
          <w:sz w:val="22"/>
          <w:szCs w:val="22"/>
          <w:lang w:val="tr-TR"/>
        </w:rPr>
        <w:t xml:space="preserve"> 1</w:t>
      </w:r>
      <w:proofErr w:type="gramEnd"/>
      <w:r w:rsidRPr="00392ED6">
        <w:rPr>
          <w:rFonts w:eastAsia="Calibri"/>
          <w:sz w:val="22"/>
          <w:szCs w:val="22"/>
          <w:lang w:val="tr-TR"/>
        </w:rPr>
        <w:t xml:space="preserve"> hastada (%4.2) hipertansiyon gelişmezken, 5 hastada (%20.8) prehipertansiyon, 15 hastada (%62.5) evre 1 hipertansiyon ve 3 hastada (%12.5) evre 2 hipertansiyon geliştiği saptandı. Proteinüri yönünden incelendiğinde 6 doz tedavi sonrası hastaların 6’sında (%25) mikroalbumüniri geliştiği gözlendi. Genel olarak progresyonsuz sağ kalım ortancası </w:t>
      </w:r>
      <w:proofErr w:type="gramStart"/>
      <w:r w:rsidRPr="00392ED6">
        <w:rPr>
          <w:rFonts w:eastAsia="Calibri"/>
          <w:sz w:val="22"/>
          <w:szCs w:val="22"/>
          <w:lang w:val="tr-TR"/>
        </w:rPr>
        <w:t>18.1</w:t>
      </w:r>
      <w:proofErr w:type="gramEnd"/>
      <w:r w:rsidRPr="00392ED6">
        <w:rPr>
          <w:rFonts w:eastAsia="Calibri"/>
          <w:sz w:val="22"/>
          <w:szCs w:val="22"/>
          <w:lang w:val="tr-TR"/>
        </w:rPr>
        <w:t xml:space="preserve"> ay olarak bulundu. Hiçbir parametrenin hastalıksız sağ kalımla ilişkisi saptanmadı (p&gt; 0.05).</w:t>
      </w:r>
    </w:p>
    <w:p w:rsidR="00392ED6" w:rsidRPr="00392ED6" w:rsidRDefault="00392ED6" w:rsidP="00392ED6">
      <w:pPr>
        <w:spacing w:after="200" w:line="360" w:lineRule="auto"/>
        <w:ind w:firstLine="708"/>
        <w:jc w:val="both"/>
        <w:rPr>
          <w:rFonts w:eastAsia="Calibri"/>
          <w:sz w:val="22"/>
          <w:szCs w:val="22"/>
          <w:lang w:val="tr-TR"/>
        </w:rPr>
      </w:pPr>
      <w:r w:rsidRPr="00392ED6">
        <w:rPr>
          <w:rFonts w:eastAsia="Calibri"/>
          <w:sz w:val="22"/>
          <w:szCs w:val="22"/>
          <w:lang w:val="tr-TR"/>
        </w:rPr>
        <w:t>Sonuç olarak 6 siklus tedavi sonrası serum VEGF düzeyleri tümör cevabıyla ilişkiliyken, VEGF, NO ve ANG II düzeyleri veya hipertansiyon gelişimi progresyonsuz sağ kalımla ilişkili değildir. Bu konuda daha kesin sonuçlar için daha büyük hasta gruplarında yapılacak daha fazla çalışmaya ihtiyaç olduğu düşünülmektedir.</w:t>
      </w:r>
    </w:p>
    <w:p w:rsidR="00392ED6" w:rsidRPr="00392ED6" w:rsidRDefault="00392ED6" w:rsidP="00392ED6">
      <w:pPr>
        <w:spacing w:after="200" w:line="360" w:lineRule="auto"/>
        <w:ind w:firstLine="708"/>
        <w:jc w:val="both"/>
        <w:rPr>
          <w:rFonts w:eastAsia="Calibri"/>
          <w:sz w:val="22"/>
          <w:szCs w:val="22"/>
          <w:lang w:val="tr-TR"/>
        </w:rPr>
      </w:pPr>
      <w:r w:rsidRPr="00392ED6">
        <w:rPr>
          <w:rFonts w:eastAsia="Calibri"/>
          <w:b/>
          <w:sz w:val="22"/>
          <w:szCs w:val="22"/>
          <w:lang w:val="tr-TR"/>
        </w:rPr>
        <w:t>Anahtar Kelimeler:</w:t>
      </w:r>
      <w:r w:rsidRPr="00392ED6">
        <w:rPr>
          <w:rFonts w:eastAsia="Calibri"/>
          <w:sz w:val="22"/>
          <w:szCs w:val="22"/>
          <w:lang w:val="tr-TR"/>
        </w:rPr>
        <w:t xml:space="preserve"> Kolorektal kanser, Bevacizumab, VEGF, NO, ANG II, Hipertansiyon</w:t>
      </w:r>
    </w:p>
    <w:p w:rsidR="00392ED6" w:rsidRPr="00392ED6" w:rsidRDefault="00392ED6" w:rsidP="00392ED6">
      <w:pPr>
        <w:spacing w:after="200" w:line="360" w:lineRule="auto"/>
        <w:ind w:firstLine="708"/>
        <w:jc w:val="both"/>
        <w:rPr>
          <w:rFonts w:eastAsia="Calibri"/>
          <w:b/>
          <w:sz w:val="28"/>
          <w:szCs w:val="28"/>
          <w:lang w:val="tr-TR"/>
        </w:rPr>
      </w:pPr>
      <w:r w:rsidRPr="00392ED6">
        <w:rPr>
          <w:rFonts w:eastAsia="Calibri"/>
          <w:b/>
          <w:sz w:val="28"/>
          <w:szCs w:val="28"/>
          <w:lang w:val="tr-TR"/>
        </w:rPr>
        <w:t xml:space="preserve">                                          </w:t>
      </w:r>
    </w:p>
    <w:p w:rsidR="00392ED6" w:rsidRPr="00392ED6" w:rsidRDefault="00392ED6" w:rsidP="00392ED6">
      <w:pPr>
        <w:spacing w:after="200" w:line="360" w:lineRule="auto"/>
        <w:ind w:firstLine="708"/>
        <w:jc w:val="both"/>
        <w:rPr>
          <w:rFonts w:eastAsia="Calibri"/>
          <w:b/>
          <w:sz w:val="28"/>
          <w:szCs w:val="28"/>
          <w:lang w:val="tr-TR"/>
        </w:rPr>
      </w:pPr>
      <w:r w:rsidRPr="00392ED6">
        <w:rPr>
          <w:rFonts w:eastAsia="Calibri"/>
          <w:b/>
          <w:sz w:val="28"/>
          <w:szCs w:val="28"/>
          <w:lang w:val="tr-TR"/>
        </w:rPr>
        <w:lastRenderedPageBreak/>
        <w:t xml:space="preserve">                                    ABSTRACT</w:t>
      </w:r>
    </w:p>
    <w:p w:rsidR="00392ED6" w:rsidRPr="00392ED6" w:rsidRDefault="00392ED6" w:rsidP="00392ED6">
      <w:pPr>
        <w:tabs>
          <w:tab w:val="left" w:pos="720"/>
        </w:tabs>
        <w:autoSpaceDE w:val="0"/>
        <w:autoSpaceDN w:val="0"/>
        <w:adjustRightInd w:val="0"/>
        <w:spacing w:after="200" w:line="360" w:lineRule="auto"/>
        <w:ind w:left="277" w:right="18"/>
        <w:jc w:val="center"/>
        <w:rPr>
          <w:rFonts w:eastAsia="Calibri"/>
          <w:sz w:val="22"/>
          <w:szCs w:val="22"/>
          <w:lang w:val="tr-TR"/>
        </w:rPr>
      </w:pPr>
      <w:r w:rsidRPr="00392ED6">
        <w:rPr>
          <w:rFonts w:eastAsia="Calibri"/>
          <w:b/>
          <w:sz w:val="22"/>
          <w:szCs w:val="22"/>
          <w:lang w:val="tr-TR"/>
        </w:rPr>
        <w:t xml:space="preserve">Effects of Bevacizumab therapy on hypertension development, serum vascular endothelial growth factor, nitric oxide, angiotensin II levels and response of tumor to the therapy in patients with metastatic colorectal cancer </w:t>
      </w:r>
    </w:p>
    <w:p w:rsidR="00392ED6" w:rsidRPr="00392ED6" w:rsidRDefault="00392ED6" w:rsidP="00392ED6">
      <w:pPr>
        <w:spacing w:after="200" w:line="360" w:lineRule="auto"/>
        <w:ind w:firstLine="708"/>
        <w:jc w:val="both"/>
        <w:rPr>
          <w:rFonts w:eastAsia="Calibri"/>
          <w:sz w:val="22"/>
          <w:szCs w:val="22"/>
          <w:lang w:val="tr-TR"/>
        </w:rPr>
      </w:pPr>
      <w:r w:rsidRPr="00392ED6">
        <w:rPr>
          <w:rFonts w:eastAsia="Calibri"/>
          <w:sz w:val="22"/>
          <w:szCs w:val="22"/>
          <w:lang w:val="tr-TR"/>
        </w:rPr>
        <w:t xml:space="preserve">Colorectal cancer is the third most commonly seen and the second deadliest cancer </w:t>
      </w:r>
      <w:proofErr w:type="gramStart"/>
      <w:r w:rsidRPr="00392ED6">
        <w:rPr>
          <w:rFonts w:eastAsia="Calibri"/>
          <w:sz w:val="22"/>
          <w:szCs w:val="22"/>
          <w:lang w:val="tr-TR"/>
        </w:rPr>
        <w:t>after  lung</w:t>
      </w:r>
      <w:proofErr w:type="gramEnd"/>
      <w:r w:rsidRPr="00392ED6">
        <w:rPr>
          <w:rFonts w:eastAsia="Calibri"/>
          <w:sz w:val="22"/>
          <w:szCs w:val="22"/>
          <w:lang w:val="tr-TR"/>
        </w:rPr>
        <w:t xml:space="preserve"> cancer (1). It is responsible for the % 10 percent of all deaths from cancer. For the past 20 years deaths from colorectal cancer are significantly decreasing by developments in screening programs, diagnostic tests, and much more effectice cytostatic chemotherapies and </w:t>
      </w:r>
      <w:proofErr w:type="gramStart"/>
      <w:r w:rsidRPr="00392ED6">
        <w:rPr>
          <w:rFonts w:eastAsia="Calibri"/>
          <w:sz w:val="22"/>
          <w:szCs w:val="22"/>
          <w:lang w:val="tr-TR"/>
        </w:rPr>
        <w:t>moleular  targeted</w:t>
      </w:r>
      <w:proofErr w:type="gramEnd"/>
      <w:r w:rsidRPr="00392ED6">
        <w:rPr>
          <w:rFonts w:eastAsia="Calibri"/>
          <w:sz w:val="22"/>
          <w:szCs w:val="22"/>
          <w:lang w:val="tr-TR"/>
        </w:rPr>
        <w:t xml:space="preserve"> therapies. Bevacizumab is a molecular targeted therapy specifically targets vascular endothelial growth factor. Although it is not a cytostatic therapy but it can be responsible for serious adverse events which can be resulted by </w:t>
      </w:r>
      <w:proofErr w:type="gramStart"/>
      <w:r w:rsidRPr="00392ED6">
        <w:rPr>
          <w:rFonts w:eastAsia="Calibri"/>
          <w:sz w:val="22"/>
          <w:szCs w:val="22"/>
          <w:lang w:val="tr-TR"/>
        </w:rPr>
        <w:t>death .</w:t>
      </w:r>
      <w:proofErr w:type="gramEnd"/>
      <w:r w:rsidRPr="00392ED6">
        <w:rPr>
          <w:rFonts w:eastAsia="Calibri"/>
          <w:sz w:val="22"/>
          <w:szCs w:val="22"/>
          <w:lang w:val="tr-TR"/>
        </w:rPr>
        <w:t xml:space="preserve"> Currently prognostic and predictive markers are getting much more important for predicting response to the therapy and outcome and also preventing therapy related toxicity. Beginning from this issue we searched the effects of bevacizumab therapy on serum VEGF, NO and ANG II levels and hypertension </w:t>
      </w:r>
      <w:proofErr w:type="gramStart"/>
      <w:r w:rsidRPr="00392ED6">
        <w:rPr>
          <w:rFonts w:eastAsia="Calibri"/>
          <w:sz w:val="22"/>
          <w:szCs w:val="22"/>
          <w:lang w:val="tr-TR"/>
        </w:rPr>
        <w:t>development  after</w:t>
      </w:r>
      <w:proofErr w:type="gramEnd"/>
      <w:r w:rsidRPr="00392ED6">
        <w:rPr>
          <w:rFonts w:eastAsia="Calibri"/>
          <w:sz w:val="22"/>
          <w:szCs w:val="22"/>
          <w:lang w:val="tr-TR"/>
        </w:rPr>
        <w:t xml:space="preserve"> six cycle of therapy in metastatic colorectal cancer patients and  we also searched interaction between these markers and outcome of patients </w:t>
      </w:r>
    </w:p>
    <w:p w:rsidR="00392ED6" w:rsidRPr="00392ED6" w:rsidRDefault="00392ED6" w:rsidP="00392ED6">
      <w:pPr>
        <w:spacing w:after="200" w:line="360" w:lineRule="auto"/>
        <w:ind w:firstLine="708"/>
        <w:jc w:val="both"/>
        <w:rPr>
          <w:rFonts w:eastAsia="Calibri"/>
          <w:sz w:val="22"/>
          <w:szCs w:val="22"/>
          <w:lang w:val="tr-TR"/>
        </w:rPr>
      </w:pPr>
      <w:r w:rsidRPr="00392ED6">
        <w:rPr>
          <w:rFonts w:eastAsia="Calibri"/>
          <w:sz w:val="22"/>
          <w:szCs w:val="22"/>
          <w:lang w:val="tr-TR"/>
        </w:rPr>
        <w:t xml:space="preserve">24 patient with metastatic colorectal cancer followed by Baskent University Adana Teaching and Research Center Oncology </w:t>
      </w:r>
      <w:proofErr w:type="gramStart"/>
      <w:r w:rsidRPr="00392ED6">
        <w:rPr>
          <w:rFonts w:eastAsia="Calibri"/>
          <w:sz w:val="22"/>
          <w:szCs w:val="22"/>
          <w:lang w:val="tr-TR"/>
        </w:rPr>
        <w:t>Department  are</w:t>
      </w:r>
      <w:proofErr w:type="gramEnd"/>
      <w:r w:rsidRPr="00392ED6">
        <w:rPr>
          <w:rFonts w:eastAsia="Calibri"/>
          <w:sz w:val="22"/>
          <w:szCs w:val="22"/>
          <w:lang w:val="tr-TR"/>
        </w:rPr>
        <w:t xml:space="preserve"> conducted to our study. 15 of the 24 patient </w:t>
      </w:r>
      <w:proofErr w:type="gramStart"/>
      <w:r w:rsidRPr="00392ED6">
        <w:rPr>
          <w:rFonts w:eastAsia="Calibri"/>
          <w:sz w:val="22"/>
          <w:szCs w:val="22"/>
          <w:lang w:val="tr-TR"/>
        </w:rPr>
        <w:t>were  male</w:t>
      </w:r>
      <w:proofErr w:type="gramEnd"/>
      <w:r w:rsidRPr="00392ED6">
        <w:rPr>
          <w:rFonts w:eastAsia="Calibri"/>
          <w:sz w:val="22"/>
          <w:szCs w:val="22"/>
          <w:lang w:val="tr-TR"/>
        </w:rPr>
        <w:t xml:space="preserve"> (62.5%) and rest of them were female  (37.5%). We found decrease in serum</w:t>
      </w:r>
      <w:r w:rsidRPr="00392ED6">
        <w:rPr>
          <w:rFonts w:eastAsia="Calibri"/>
          <w:bCs/>
          <w:sz w:val="22"/>
          <w:szCs w:val="22"/>
          <w:lang w:val="tr-TR"/>
        </w:rPr>
        <w:t xml:space="preserve"> VEGF levels after 6 cycles of therapy and it was statistically significant ( p= 0.009). There was no statisticaly significant changing at </w:t>
      </w:r>
      <w:proofErr w:type="gramStart"/>
      <w:r w:rsidRPr="00392ED6">
        <w:rPr>
          <w:rFonts w:eastAsia="Calibri"/>
          <w:bCs/>
          <w:sz w:val="22"/>
          <w:szCs w:val="22"/>
          <w:lang w:val="tr-TR"/>
        </w:rPr>
        <w:t>serum  NO</w:t>
      </w:r>
      <w:proofErr w:type="gramEnd"/>
      <w:r w:rsidRPr="00392ED6">
        <w:rPr>
          <w:rFonts w:eastAsia="Calibri"/>
          <w:bCs/>
          <w:sz w:val="22"/>
          <w:szCs w:val="22"/>
          <w:lang w:val="tr-TR"/>
        </w:rPr>
        <w:t xml:space="preserve"> ve ANG II levels (p&gt; 0.005). We also found statistically significant relation between serum VEGF levels obtained after 6 cycle of therapy and tumor response. (p= 0.014) Patients were also followed for hypertension and proteinuia devolopment, after 6 cycles of therapy we found 1 patient without hypertension (</w:t>
      </w:r>
      <w:proofErr w:type="gramStart"/>
      <w:r w:rsidRPr="00392ED6">
        <w:rPr>
          <w:rFonts w:eastAsia="Calibri"/>
          <w:bCs/>
          <w:sz w:val="22"/>
          <w:szCs w:val="22"/>
          <w:lang w:val="tr-TR"/>
        </w:rPr>
        <w:t>4.2</w:t>
      </w:r>
      <w:proofErr w:type="gramEnd"/>
      <w:r w:rsidRPr="00392ED6">
        <w:rPr>
          <w:rFonts w:eastAsia="Calibri"/>
          <w:bCs/>
          <w:sz w:val="22"/>
          <w:szCs w:val="22"/>
          <w:lang w:val="tr-TR"/>
        </w:rPr>
        <w:t xml:space="preserve">%), 5 patient with prehypertensive stage (20.8%), 15 wtih stage 1 hypertension (62.5%) and 3 with stage 2 hypertension (12.5%), </w:t>
      </w:r>
      <w:r w:rsidRPr="00392ED6">
        <w:rPr>
          <w:rFonts w:eastAsia="Calibri"/>
          <w:sz w:val="22"/>
          <w:szCs w:val="22"/>
          <w:lang w:val="tr-TR"/>
        </w:rPr>
        <w:t xml:space="preserve">proteinuria development was found as microalbuminiria in 6 patients during therapy (25%). Median progression free survival was found as 18.1 months and none </w:t>
      </w:r>
      <w:proofErr w:type="gramStart"/>
      <w:r w:rsidRPr="00392ED6">
        <w:rPr>
          <w:rFonts w:eastAsia="Calibri"/>
          <w:sz w:val="22"/>
          <w:szCs w:val="22"/>
          <w:lang w:val="tr-TR"/>
        </w:rPr>
        <w:t>of  these</w:t>
      </w:r>
      <w:proofErr w:type="gramEnd"/>
      <w:r w:rsidRPr="00392ED6">
        <w:rPr>
          <w:rFonts w:eastAsia="Calibri"/>
          <w:sz w:val="22"/>
          <w:szCs w:val="22"/>
          <w:lang w:val="tr-TR"/>
        </w:rPr>
        <w:t xml:space="preserve"> parameters were related with progression free survival (p&gt; 0.05).</w:t>
      </w:r>
    </w:p>
    <w:p w:rsidR="00392ED6" w:rsidRPr="00392ED6" w:rsidRDefault="00392ED6" w:rsidP="00392ED6">
      <w:pPr>
        <w:spacing w:after="200" w:line="360" w:lineRule="auto"/>
        <w:ind w:firstLine="708"/>
        <w:jc w:val="both"/>
        <w:rPr>
          <w:rFonts w:eastAsia="Calibri"/>
          <w:sz w:val="22"/>
          <w:szCs w:val="22"/>
          <w:lang w:val="tr-TR"/>
        </w:rPr>
      </w:pPr>
      <w:r w:rsidRPr="00392ED6">
        <w:rPr>
          <w:rFonts w:eastAsia="Calibri"/>
          <w:sz w:val="22"/>
          <w:szCs w:val="22"/>
          <w:lang w:val="tr-TR"/>
        </w:rPr>
        <w:t xml:space="preserve">In conclusion, serum VEGF levels after 6 cycle of bevacizumab therapy are related with tumor response </w:t>
      </w:r>
      <w:proofErr w:type="gramStart"/>
      <w:r w:rsidRPr="00392ED6">
        <w:rPr>
          <w:rFonts w:eastAsia="Calibri"/>
          <w:sz w:val="22"/>
          <w:szCs w:val="22"/>
          <w:lang w:val="tr-TR"/>
        </w:rPr>
        <w:t>and  neither</w:t>
      </w:r>
      <w:proofErr w:type="gramEnd"/>
      <w:r w:rsidRPr="00392ED6">
        <w:rPr>
          <w:rFonts w:eastAsia="Calibri"/>
          <w:sz w:val="22"/>
          <w:szCs w:val="22"/>
          <w:lang w:val="tr-TR"/>
        </w:rPr>
        <w:t xml:space="preserve"> serum VEGF levels nore other parameters are related with progression free survival. Before declaring exact results about this issue bigger studies with high patient numbers from multiple centers are needed.</w:t>
      </w:r>
    </w:p>
    <w:p w:rsidR="00392ED6" w:rsidRPr="00392ED6" w:rsidRDefault="00392ED6" w:rsidP="00392ED6">
      <w:pPr>
        <w:spacing w:after="200" w:line="360" w:lineRule="auto"/>
        <w:ind w:firstLine="708"/>
        <w:jc w:val="both"/>
        <w:rPr>
          <w:rFonts w:eastAsia="Calibri"/>
          <w:sz w:val="22"/>
          <w:szCs w:val="22"/>
          <w:lang w:val="tr-TR"/>
        </w:rPr>
      </w:pPr>
      <w:r w:rsidRPr="00392ED6">
        <w:rPr>
          <w:rFonts w:eastAsia="Calibri"/>
          <w:b/>
          <w:sz w:val="22"/>
          <w:szCs w:val="22"/>
          <w:lang w:val="tr-TR"/>
        </w:rPr>
        <w:t>Keywords:</w:t>
      </w:r>
      <w:r w:rsidRPr="00392ED6">
        <w:rPr>
          <w:rFonts w:eastAsia="Calibri"/>
          <w:sz w:val="22"/>
          <w:szCs w:val="22"/>
          <w:lang w:val="tr-TR"/>
        </w:rPr>
        <w:t xml:space="preserve"> Colorectal cancer, Bevacizumab, VEGF, NO, ANG II, Hypertension</w:t>
      </w:r>
    </w:p>
    <w:p w:rsidR="00392ED6" w:rsidRDefault="00392ED6" w:rsidP="00392ED6">
      <w:pPr>
        <w:spacing w:before="240" w:after="60"/>
        <w:jc w:val="center"/>
        <w:outlineLvl w:val="0"/>
        <w:rPr>
          <w:b/>
          <w:bCs/>
          <w:kern w:val="28"/>
          <w:sz w:val="28"/>
          <w:szCs w:val="28"/>
          <w:lang w:val="tr-TR" w:eastAsia="tr-TR"/>
        </w:rPr>
      </w:pPr>
    </w:p>
    <w:p w:rsidR="00392ED6" w:rsidRDefault="00392ED6" w:rsidP="00392ED6">
      <w:pPr>
        <w:spacing w:before="240" w:after="60"/>
        <w:jc w:val="center"/>
        <w:outlineLvl w:val="0"/>
        <w:rPr>
          <w:b/>
          <w:bCs/>
          <w:kern w:val="28"/>
          <w:sz w:val="28"/>
          <w:szCs w:val="28"/>
          <w:lang w:val="tr-TR" w:eastAsia="tr-TR"/>
        </w:rPr>
      </w:pPr>
    </w:p>
    <w:p w:rsidR="00392ED6" w:rsidRPr="00392ED6" w:rsidRDefault="00392ED6" w:rsidP="00392ED6">
      <w:pPr>
        <w:spacing w:before="240" w:after="60"/>
        <w:jc w:val="center"/>
        <w:outlineLvl w:val="0"/>
        <w:rPr>
          <w:b/>
          <w:bCs/>
          <w:kern w:val="28"/>
          <w:sz w:val="28"/>
          <w:szCs w:val="28"/>
          <w:lang w:val="tr-TR" w:eastAsia="tr-TR"/>
        </w:rPr>
      </w:pPr>
      <w:r w:rsidRPr="00392ED6">
        <w:rPr>
          <w:b/>
          <w:bCs/>
          <w:kern w:val="28"/>
          <w:sz w:val="28"/>
          <w:szCs w:val="28"/>
          <w:lang w:val="tr-TR" w:eastAsia="tr-TR"/>
        </w:rPr>
        <w:lastRenderedPageBreak/>
        <w:t>İÇİNDEKİLER</w:t>
      </w:r>
    </w:p>
    <w:p w:rsidR="00392ED6" w:rsidRPr="00392ED6" w:rsidRDefault="00392ED6" w:rsidP="00392ED6">
      <w:pPr>
        <w:spacing w:before="240" w:after="60"/>
        <w:jc w:val="right"/>
        <w:outlineLvl w:val="0"/>
        <w:rPr>
          <w:rFonts w:ascii="Cambria" w:hAnsi="Cambria"/>
          <w:b/>
          <w:bCs/>
          <w:kern w:val="28"/>
          <w:lang w:val="tr-TR" w:eastAsia="tr-TR"/>
        </w:rPr>
      </w:pPr>
      <w:r w:rsidRPr="00392ED6">
        <w:rPr>
          <w:rFonts w:ascii="Cambria" w:hAnsi="Cambria"/>
          <w:b/>
          <w:bCs/>
          <w:kern w:val="28"/>
          <w:lang w:val="tr-TR" w:eastAsia="tr-TR"/>
        </w:rPr>
        <w:tab/>
      </w:r>
      <w:r w:rsidRPr="00392ED6">
        <w:rPr>
          <w:rFonts w:ascii="Cambria" w:hAnsi="Cambria"/>
          <w:b/>
          <w:bCs/>
          <w:kern w:val="28"/>
          <w:lang w:val="tr-TR" w:eastAsia="tr-TR"/>
        </w:rPr>
        <w:tab/>
      </w:r>
      <w:r w:rsidRPr="00392ED6">
        <w:rPr>
          <w:rFonts w:ascii="Cambria" w:hAnsi="Cambria"/>
          <w:b/>
          <w:bCs/>
          <w:kern w:val="28"/>
          <w:lang w:val="tr-TR" w:eastAsia="tr-TR"/>
        </w:rPr>
        <w:tab/>
      </w:r>
      <w:r w:rsidRPr="00392ED6">
        <w:rPr>
          <w:rFonts w:ascii="Cambria" w:hAnsi="Cambria"/>
          <w:b/>
          <w:bCs/>
          <w:kern w:val="28"/>
          <w:lang w:val="tr-TR" w:eastAsia="tr-TR"/>
        </w:rPr>
        <w:tab/>
      </w:r>
      <w:r w:rsidRPr="00392ED6">
        <w:rPr>
          <w:rFonts w:ascii="Cambria" w:hAnsi="Cambria"/>
          <w:b/>
          <w:bCs/>
          <w:kern w:val="28"/>
          <w:lang w:val="tr-TR" w:eastAsia="tr-TR"/>
        </w:rPr>
        <w:tab/>
      </w:r>
      <w:r w:rsidRPr="00392ED6">
        <w:rPr>
          <w:rFonts w:ascii="Cambria" w:hAnsi="Cambria"/>
          <w:b/>
          <w:bCs/>
          <w:kern w:val="28"/>
          <w:lang w:val="tr-TR" w:eastAsia="tr-TR"/>
        </w:rPr>
        <w:tab/>
      </w:r>
      <w:r w:rsidRPr="00392ED6">
        <w:rPr>
          <w:rFonts w:ascii="Cambria" w:hAnsi="Cambria"/>
          <w:b/>
          <w:bCs/>
          <w:kern w:val="28"/>
          <w:lang w:val="tr-TR" w:eastAsia="tr-TR"/>
        </w:rPr>
        <w:tab/>
      </w:r>
      <w:r w:rsidRPr="00392ED6">
        <w:rPr>
          <w:rFonts w:ascii="Cambria" w:hAnsi="Cambria"/>
          <w:b/>
          <w:bCs/>
          <w:kern w:val="28"/>
          <w:lang w:val="tr-TR" w:eastAsia="tr-TR"/>
        </w:rPr>
        <w:tab/>
      </w:r>
      <w:r w:rsidRPr="00392ED6">
        <w:rPr>
          <w:rFonts w:ascii="Cambria" w:hAnsi="Cambria"/>
          <w:b/>
          <w:bCs/>
          <w:kern w:val="28"/>
          <w:lang w:val="tr-TR" w:eastAsia="tr-TR"/>
        </w:rPr>
        <w:tab/>
      </w:r>
      <w:r w:rsidRPr="00392ED6">
        <w:rPr>
          <w:rFonts w:ascii="Cambria" w:hAnsi="Cambria"/>
          <w:b/>
          <w:bCs/>
          <w:kern w:val="28"/>
          <w:lang w:val="tr-TR" w:eastAsia="tr-TR"/>
        </w:rPr>
        <w:tab/>
      </w:r>
      <w:r w:rsidRPr="00392ED6">
        <w:rPr>
          <w:rFonts w:ascii="Cambria" w:hAnsi="Cambria"/>
          <w:b/>
          <w:bCs/>
          <w:kern w:val="28"/>
          <w:u w:val="single"/>
          <w:lang w:val="tr-TR" w:eastAsia="tr-TR"/>
        </w:rPr>
        <w:t>Sayfa no:</w:t>
      </w:r>
    </w:p>
    <w:p w:rsidR="00392ED6" w:rsidRPr="00392ED6" w:rsidRDefault="00392ED6" w:rsidP="00392ED6">
      <w:pPr>
        <w:tabs>
          <w:tab w:val="right" w:leader="dot" w:pos="8505"/>
        </w:tabs>
        <w:spacing w:line="360" w:lineRule="auto"/>
        <w:jc w:val="both"/>
        <w:rPr>
          <w:lang w:val="tr-TR" w:eastAsia="tr-TR"/>
        </w:rPr>
      </w:pPr>
      <w:r w:rsidRPr="00392ED6">
        <w:rPr>
          <w:lang w:val="tr-TR" w:eastAsia="tr-TR"/>
        </w:rPr>
        <w:t>TEŞEKKÜR</w:t>
      </w:r>
      <w:r w:rsidRPr="00392ED6">
        <w:rPr>
          <w:lang w:val="tr-TR" w:eastAsia="tr-TR"/>
        </w:rPr>
        <w:tab/>
        <w:t>i</w:t>
      </w:r>
    </w:p>
    <w:p w:rsidR="00392ED6" w:rsidRPr="00392ED6" w:rsidRDefault="00392ED6" w:rsidP="00392ED6">
      <w:pPr>
        <w:tabs>
          <w:tab w:val="right" w:leader="dot" w:pos="8505"/>
        </w:tabs>
        <w:spacing w:line="360" w:lineRule="auto"/>
        <w:jc w:val="both"/>
        <w:rPr>
          <w:lang w:val="tr-TR" w:eastAsia="tr-TR"/>
        </w:rPr>
      </w:pPr>
      <w:r w:rsidRPr="00392ED6">
        <w:rPr>
          <w:lang w:val="tr-TR" w:eastAsia="tr-TR"/>
        </w:rPr>
        <w:t>ÖZET</w:t>
      </w:r>
      <w:r w:rsidRPr="00392ED6">
        <w:rPr>
          <w:lang w:val="tr-TR" w:eastAsia="tr-TR"/>
        </w:rPr>
        <w:tab/>
        <w:t>ii</w:t>
      </w:r>
    </w:p>
    <w:p w:rsidR="00392ED6" w:rsidRPr="00392ED6" w:rsidRDefault="00392ED6" w:rsidP="00392ED6">
      <w:pPr>
        <w:tabs>
          <w:tab w:val="right" w:leader="dot" w:pos="8505"/>
        </w:tabs>
        <w:spacing w:line="360" w:lineRule="auto"/>
        <w:jc w:val="both"/>
        <w:rPr>
          <w:lang w:val="tr-TR" w:eastAsia="tr-TR"/>
        </w:rPr>
      </w:pPr>
      <w:r w:rsidRPr="00392ED6">
        <w:rPr>
          <w:lang w:val="tr-TR" w:eastAsia="tr-TR"/>
        </w:rPr>
        <w:t>ABSTRACT</w:t>
      </w:r>
      <w:r w:rsidRPr="00392ED6">
        <w:rPr>
          <w:lang w:val="tr-TR" w:eastAsia="tr-TR"/>
        </w:rPr>
        <w:tab/>
        <w:t>iii</w:t>
      </w:r>
    </w:p>
    <w:p w:rsidR="00392ED6" w:rsidRPr="00392ED6" w:rsidRDefault="00392ED6" w:rsidP="00392ED6">
      <w:pPr>
        <w:tabs>
          <w:tab w:val="right" w:leader="dot" w:pos="8505"/>
        </w:tabs>
        <w:spacing w:line="360" w:lineRule="auto"/>
        <w:jc w:val="both"/>
        <w:rPr>
          <w:lang w:val="tr-TR" w:eastAsia="tr-TR"/>
        </w:rPr>
      </w:pPr>
      <w:r w:rsidRPr="00392ED6">
        <w:rPr>
          <w:lang w:val="tr-TR" w:eastAsia="tr-TR"/>
        </w:rPr>
        <w:t>İÇİNDEKİLER</w:t>
      </w:r>
      <w:r w:rsidRPr="00392ED6">
        <w:rPr>
          <w:lang w:val="tr-TR" w:eastAsia="tr-TR"/>
        </w:rPr>
        <w:tab/>
        <w:t>iv</w:t>
      </w:r>
    </w:p>
    <w:p w:rsidR="00392ED6" w:rsidRPr="00392ED6" w:rsidRDefault="00392ED6" w:rsidP="00392ED6">
      <w:pPr>
        <w:tabs>
          <w:tab w:val="right" w:leader="dot" w:pos="8505"/>
        </w:tabs>
        <w:spacing w:line="360" w:lineRule="auto"/>
        <w:jc w:val="both"/>
        <w:rPr>
          <w:lang w:val="tr-TR" w:eastAsia="tr-TR"/>
        </w:rPr>
      </w:pPr>
      <w:r w:rsidRPr="00392ED6">
        <w:rPr>
          <w:lang w:val="tr-TR" w:eastAsia="tr-TR"/>
        </w:rPr>
        <w:t>ŞEKİLLER LİSTESİ</w:t>
      </w:r>
      <w:r w:rsidRPr="00392ED6">
        <w:rPr>
          <w:lang w:val="tr-TR" w:eastAsia="tr-TR"/>
        </w:rPr>
        <w:tab/>
        <w:t>vi</w:t>
      </w:r>
    </w:p>
    <w:p w:rsidR="00392ED6" w:rsidRPr="00392ED6" w:rsidRDefault="00392ED6" w:rsidP="00392ED6">
      <w:pPr>
        <w:tabs>
          <w:tab w:val="right" w:leader="dot" w:pos="8505"/>
        </w:tabs>
        <w:spacing w:line="360" w:lineRule="auto"/>
        <w:jc w:val="both"/>
        <w:rPr>
          <w:lang w:val="tr-TR" w:eastAsia="tr-TR"/>
        </w:rPr>
      </w:pPr>
      <w:r w:rsidRPr="00392ED6">
        <w:rPr>
          <w:lang w:val="tr-TR" w:eastAsia="tr-TR"/>
        </w:rPr>
        <w:t>TABLOLAR LİSTESİ</w:t>
      </w:r>
      <w:r w:rsidRPr="00392ED6">
        <w:rPr>
          <w:lang w:val="tr-TR" w:eastAsia="tr-TR"/>
        </w:rPr>
        <w:tab/>
        <w:t>vii</w:t>
      </w:r>
    </w:p>
    <w:p w:rsidR="00392ED6" w:rsidRPr="00392ED6" w:rsidRDefault="00392ED6" w:rsidP="00392ED6">
      <w:pPr>
        <w:tabs>
          <w:tab w:val="right" w:leader="dot" w:pos="8505"/>
        </w:tabs>
        <w:spacing w:line="360" w:lineRule="auto"/>
        <w:jc w:val="both"/>
        <w:rPr>
          <w:lang w:val="tr-TR" w:eastAsia="tr-TR"/>
        </w:rPr>
      </w:pPr>
      <w:r w:rsidRPr="00392ED6">
        <w:rPr>
          <w:lang w:val="tr-TR" w:eastAsia="tr-TR"/>
        </w:rPr>
        <w:t>KISALTMALAR LİSTESİ</w:t>
      </w:r>
      <w:r w:rsidRPr="00392ED6">
        <w:rPr>
          <w:lang w:val="tr-TR" w:eastAsia="tr-TR"/>
        </w:rPr>
        <w:tab/>
        <w:t>viii</w:t>
      </w:r>
    </w:p>
    <w:p w:rsidR="00392ED6" w:rsidRPr="00392ED6" w:rsidRDefault="00392ED6" w:rsidP="00392ED6">
      <w:pPr>
        <w:tabs>
          <w:tab w:val="right" w:leader="dot" w:pos="8505"/>
        </w:tabs>
        <w:spacing w:line="360" w:lineRule="auto"/>
        <w:jc w:val="both"/>
        <w:outlineLvl w:val="0"/>
        <w:rPr>
          <w:lang w:val="tr-TR" w:eastAsia="tr-TR"/>
        </w:rPr>
      </w:pPr>
      <w:r w:rsidRPr="00392ED6">
        <w:rPr>
          <w:lang w:val="tr-TR" w:eastAsia="tr-TR"/>
        </w:rPr>
        <w:t>1. GİRİŞ VE AMAÇ</w:t>
      </w:r>
      <w:r w:rsidRPr="00392ED6">
        <w:rPr>
          <w:lang w:val="tr-TR" w:eastAsia="tr-TR"/>
        </w:rPr>
        <w:tab/>
        <w:t>1</w:t>
      </w:r>
    </w:p>
    <w:p w:rsidR="00392ED6" w:rsidRPr="00392ED6" w:rsidRDefault="00392ED6" w:rsidP="00392ED6">
      <w:pPr>
        <w:tabs>
          <w:tab w:val="right" w:leader="dot" w:pos="8505"/>
        </w:tabs>
        <w:spacing w:line="360" w:lineRule="auto"/>
        <w:jc w:val="both"/>
        <w:rPr>
          <w:lang w:val="tr-TR" w:eastAsia="tr-TR"/>
        </w:rPr>
      </w:pPr>
      <w:r w:rsidRPr="00392ED6">
        <w:rPr>
          <w:lang w:val="tr-TR" w:eastAsia="tr-TR"/>
        </w:rPr>
        <w:t>2. GENEL BİLGİLER</w:t>
      </w:r>
      <w:r w:rsidRPr="00392ED6">
        <w:rPr>
          <w:lang w:val="tr-TR" w:eastAsia="tr-TR"/>
        </w:rPr>
        <w:tab/>
        <w:t>3</w:t>
      </w:r>
    </w:p>
    <w:p w:rsidR="00392ED6" w:rsidRPr="00392ED6" w:rsidRDefault="00392ED6" w:rsidP="00392ED6">
      <w:pPr>
        <w:tabs>
          <w:tab w:val="right" w:leader="dot" w:pos="8505"/>
        </w:tabs>
        <w:spacing w:line="360" w:lineRule="auto"/>
        <w:ind w:left="284"/>
        <w:jc w:val="both"/>
        <w:rPr>
          <w:lang w:val="tr-TR" w:eastAsia="tr-TR"/>
        </w:rPr>
      </w:pPr>
      <w:r w:rsidRPr="00392ED6">
        <w:rPr>
          <w:lang w:val="tr-TR" w:eastAsia="tr-TR"/>
        </w:rPr>
        <w:t>2.1. Kolorektal Kanser</w:t>
      </w:r>
      <w:r w:rsidRPr="00392ED6">
        <w:rPr>
          <w:lang w:val="tr-TR" w:eastAsia="tr-TR"/>
        </w:rPr>
        <w:tab/>
        <w:t>3</w:t>
      </w:r>
    </w:p>
    <w:p w:rsidR="00392ED6" w:rsidRPr="00392ED6" w:rsidRDefault="00392ED6" w:rsidP="00392ED6">
      <w:pPr>
        <w:tabs>
          <w:tab w:val="right" w:leader="dot" w:pos="8505"/>
        </w:tabs>
        <w:autoSpaceDE w:val="0"/>
        <w:autoSpaceDN w:val="0"/>
        <w:adjustRightInd w:val="0"/>
        <w:spacing w:line="360" w:lineRule="auto"/>
        <w:ind w:left="709"/>
        <w:jc w:val="both"/>
        <w:rPr>
          <w:lang w:val="tr-TR" w:eastAsia="tr-TR"/>
        </w:rPr>
      </w:pPr>
      <w:r w:rsidRPr="00392ED6">
        <w:rPr>
          <w:lang w:val="tr-TR" w:eastAsia="tr-TR"/>
        </w:rPr>
        <w:t>2.1.1. Giriş</w:t>
      </w:r>
      <w:r w:rsidRPr="00392ED6">
        <w:rPr>
          <w:lang w:val="tr-TR" w:eastAsia="tr-TR"/>
        </w:rPr>
        <w:tab/>
        <w:t>3</w:t>
      </w:r>
    </w:p>
    <w:p w:rsidR="00392ED6" w:rsidRPr="00392ED6" w:rsidRDefault="00392ED6" w:rsidP="00392ED6">
      <w:pPr>
        <w:tabs>
          <w:tab w:val="right" w:leader="dot" w:pos="8505"/>
        </w:tabs>
        <w:spacing w:line="360" w:lineRule="auto"/>
        <w:ind w:left="709"/>
        <w:jc w:val="both"/>
        <w:rPr>
          <w:lang w:val="tr-TR" w:eastAsia="tr-TR"/>
        </w:rPr>
      </w:pPr>
      <w:r w:rsidRPr="00392ED6">
        <w:rPr>
          <w:lang w:val="tr-TR" w:eastAsia="tr-TR"/>
        </w:rPr>
        <w:t>2.1.2.Epidemiyoloji</w:t>
      </w:r>
      <w:r w:rsidRPr="00392ED6">
        <w:rPr>
          <w:lang w:val="tr-TR" w:eastAsia="tr-TR"/>
        </w:rPr>
        <w:tab/>
        <w:t>3</w:t>
      </w:r>
    </w:p>
    <w:p w:rsidR="00392ED6" w:rsidRPr="00392ED6" w:rsidRDefault="00392ED6" w:rsidP="00392ED6">
      <w:pPr>
        <w:tabs>
          <w:tab w:val="right" w:leader="dot" w:pos="8505"/>
        </w:tabs>
        <w:autoSpaceDE w:val="0"/>
        <w:autoSpaceDN w:val="0"/>
        <w:adjustRightInd w:val="0"/>
        <w:spacing w:line="360" w:lineRule="auto"/>
        <w:ind w:left="709"/>
        <w:jc w:val="both"/>
        <w:rPr>
          <w:lang w:val="tr-TR" w:eastAsia="tr-TR"/>
        </w:rPr>
      </w:pPr>
      <w:r w:rsidRPr="00392ED6">
        <w:rPr>
          <w:lang w:val="tr-TR" w:eastAsia="tr-TR"/>
        </w:rPr>
        <w:t>2.1.3. Risk Faktörleri</w:t>
      </w:r>
      <w:r w:rsidRPr="00392ED6">
        <w:rPr>
          <w:lang w:val="tr-TR" w:eastAsia="tr-TR"/>
        </w:rPr>
        <w:tab/>
        <w:t>3</w:t>
      </w:r>
    </w:p>
    <w:p w:rsidR="00392ED6" w:rsidRPr="00392ED6" w:rsidRDefault="00392ED6" w:rsidP="00392ED6">
      <w:pPr>
        <w:tabs>
          <w:tab w:val="right" w:leader="dot" w:pos="8505"/>
        </w:tabs>
        <w:autoSpaceDE w:val="0"/>
        <w:autoSpaceDN w:val="0"/>
        <w:adjustRightInd w:val="0"/>
        <w:spacing w:line="360" w:lineRule="auto"/>
        <w:ind w:left="709"/>
        <w:jc w:val="both"/>
        <w:rPr>
          <w:lang w:val="tr-TR" w:eastAsia="tr-TR"/>
        </w:rPr>
      </w:pPr>
      <w:r w:rsidRPr="00392ED6">
        <w:rPr>
          <w:lang w:val="tr-TR" w:eastAsia="tr-TR"/>
        </w:rPr>
        <w:t>2.1.4. Klinik bulgular</w:t>
      </w:r>
      <w:r w:rsidRPr="00392ED6">
        <w:rPr>
          <w:lang w:val="tr-TR" w:eastAsia="tr-TR"/>
        </w:rPr>
        <w:tab/>
        <w:t>4</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2.1.5. Tanı</w:t>
      </w:r>
      <w:r w:rsidRPr="00392ED6">
        <w:rPr>
          <w:lang w:val="tr-TR" w:eastAsia="tr-TR"/>
        </w:rPr>
        <w:tab/>
        <w:t>4</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2.1.6. Ayırıcı Tanı</w:t>
      </w:r>
      <w:r w:rsidRPr="00392ED6">
        <w:rPr>
          <w:lang w:val="tr-TR" w:eastAsia="tr-TR"/>
        </w:rPr>
        <w:tab/>
        <w:t>5</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2.1.7. Prognoz</w:t>
      </w:r>
      <w:r w:rsidRPr="00392ED6">
        <w:rPr>
          <w:lang w:val="tr-TR" w:eastAsia="tr-TR"/>
        </w:rPr>
        <w:tab/>
        <w:t>5</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2.2.1. Tümör Gelişimi ve An</w:t>
      </w:r>
      <w:r w:rsidR="00E36B30">
        <w:rPr>
          <w:lang w:val="tr-TR" w:eastAsia="tr-TR"/>
        </w:rPr>
        <w:t>j</w:t>
      </w:r>
      <w:r w:rsidRPr="00392ED6">
        <w:rPr>
          <w:lang w:val="tr-TR" w:eastAsia="tr-TR"/>
        </w:rPr>
        <w:t>i</w:t>
      </w:r>
      <w:r w:rsidR="00E36B30">
        <w:rPr>
          <w:lang w:val="tr-TR" w:eastAsia="tr-TR"/>
        </w:rPr>
        <w:t>y</w:t>
      </w:r>
      <w:r w:rsidRPr="00392ED6">
        <w:rPr>
          <w:lang w:val="tr-TR" w:eastAsia="tr-TR"/>
        </w:rPr>
        <w:t>ogenez</w:t>
      </w:r>
      <w:r w:rsidRPr="00392ED6">
        <w:rPr>
          <w:lang w:val="tr-TR" w:eastAsia="tr-TR"/>
        </w:rPr>
        <w:tab/>
        <w:t>5</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2.2.2. Vasküler Endotelyal Büyüme Faktörü ve Reseptörü Ailesi</w:t>
      </w:r>
      <w:r w:rsidRPr="00392ED6">
        <w:rPr>
          <w:lang w:val="tr-TR" w:eastAsia="tr-TR"/>
        </w:rPr>
        <w:tab/>
        <w:t>7</w:t>
      </w:r>
    </w:p>
    <w:p w:rsidR="00392ED6" w:rsidRPr="00392ED6" w:rsidRDefault="00392ED6" w:rsidP="00392ED6">
      <w:pPr>
        <w:tabs>
          <w:tab w:val="right" w:leader="dot" w:pos="8505"/>
        </w:tabs>
        <w:autoSpaceDE w:val="0"/>
        <w:autoSpaceDN w:val="0"/>
        <w:adjustRightInd w:val="0"/>
        <w:spacing w:line="360" w:lineRule="auto"/>
        <w:ind w:left="284"/>
        <w:jc w:val="both"/>
        <w:rPr>
          <w:lang w:val="tr-TR" w:eastAsia="tr-TR"/>
        </w:rPr>
      </w:pPr>
      <w:r w:rsidRPr="00392ED6">
        <w:rPr>
          <w:lang w:val="tr-TR" w:eastAsia="tr-TR"/>
        </w:rPr>
        <w:t>2.2.3. Nitrik Oksit</w:t>
      </w:r>
      <w:r w:rsidRPr="00392ED6">
        <w:rPr>
          <w:lang w:val="tr-TR" w:eastAsia="tr-TR"/>
        </w:rPr>
        <w:tab/>
        <w:t>8</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2.2.4.  Renin An</w:t>
      </w:r>
      <w:r w:rsidR="00E36B30">
        <w:rPr>
          <w:lang w:val="tr-TR" w:eastAsia="tr-TR"/>
        </w:rPr>
        <w:t>j</w:t>
      </w:r>
      <w:r w:rsidRPr="00392ED6">
        <w:rPr>
          <w:lang w:val="tr-TR" w:eastAsia="tr-TR"/>
        </w:rPr>
        <w:t>i</w:t>
      </w:r>
      <w:r w:rsidR="00E36B30">
        <w:rPr>
          <w:lang w:val="tr-TR" w:eastAsia="tr-TR"/>
        </w:rPr>
        <w:t>y</w:t>
      </w:r>
      <w:r w:rsidRPr="00392ED6">
        <w:rPr>
          <w:lang w:val="tr-TR" w:eastAsia="tr-TR"/>
        </w:rPr>
        <w:t>otensin Aldosteron Sistemi</w:t>
      </w:r>
      <w:r w:rsidRPr="00392ED6">
        <w:rPr>
          <w:lang w:val="tr-TR" w:eastAsia="tr-TR"/>
        </w:rPr>
        <w:tab/>
        <w:t>9</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2.2.5.  Antian</w:t>
      </w:r>
      <w:r w:rsidR="00E36B30">
        <w:rPr>
          <w:lang w:val="tr-TR" w:eastAsia="tr-TR"/>
        </w:rPr>
        <w:t>j</w:t>
      </w:r>
      <w:r w:rsidRPr="00392ED6">
        <w:rPr>
          <w:lang w:val="tr-TR" w:eastAsia="tr-TR"/>
        </w:rPr>
        <w:t>i</w:t>
      </w:r>
      <w:r w:rsidR="00E36B30">
        <w:rPr>
          <w:lang w:val="tr-TR" w:eastAsia="tr-TR"/>
        </w:rPr>
        <w:t>y</w:t>
      </w:r>
      <w:r w:rsidRPr="00392ED6">
        <w:rPr>
          <w:lang w:val="tr-TR" w:eastAsia="tr-TR"/>
        </w:rPr>
        <w:t>o</w:t>
      </w:r>
      <w:r w:rsidR="00E36B30">
        <w:rPr>
          <w:lang w:val="tr-TR" w:eastAsia="tr-TR"/>
        </w:rPr>
        <w:t>j</w:t>
      </w:r>
      <w:r w:rsidRPr="00392ED6">
        <w:rPr>
          <w:lang w:val="tr-TR" w:eastAsia="tr-TR"/>
        </w:rPr>
        <w:t>enik Tedavi</w:t>
      </w:r>
      <w:r w:rsidRPr="00392ED6">
        <w:rPr>
          <w:lang w:val="tr-TR" w:eastAsia="tr-TR"/>
        </w:rPr>
        <w:tab/>
        <w:t>10</w:t>
      </w:r>
    </w:p>
    <w:p w:rsidR="00392ED6" w:rsidRPr="00392ED6" w:rsidRDefault="00392ED6" w:rsidP="00392ED6">
      <w:pPr>
        <w:tabs>
          <w:tab w:val="right" w:leader="dot" w:pos="8505"/>
        </w:tabs>
        <w:autoSpaceDE w:val="0"/>
        <w:autoSpaceDN w:val="0"/>
        <w:adjustRightInd w:val="0"/>
        <w:spacing w:line="360" w:lineRule="auto"/>
        <w:ind w:left="709"/>
        <w:jc w:val="both"/>
        <w:rPr>
          <w:lang w:val="tr-TR" w:eastAsia="tr-TR"/>
        </w:rPr>
      </w:pPr>
      <w:r w:rsidRPr="00392ED6">
        <w:rPr>
          <w:lang w:val="tr-TR" w:eastAsia="tr-TR"/>
        </w:rPr>
        <w:t>2.2.5.1. Monoklonal Antikorlar</w:t>
      </w:r>
      <w:r w:rsidRPr="00392ED6">
        <w:rPr>
          <w:lang w:val="tr-TR" w:eastAsia="tr-TR"/>
        </w:rPr>
        <w:tab/>
        <w:t>10</w:t>
      </w:r>
    </w:p>
    <w:p w:rsidR="00392ED6" w:rsidRPr="00392ED6" w:rsidRDefault="00392ED6" w:rsidP="00392ED6">
      <w:pPr>
        <w:tabs>
          <w:tab w:val="right" w:leader="dot" w:pos="8505"/>
        </w:tabs>
        <w:autoSpaceDE w:val="0"/>
        <w:autoSpaceDN w:val="0"/>
        <w:adjustRightInd w:val="0"/>
        <w:spacing w:line="360" w:lineRule="auto"/>
        <w:ind w:left="709"/>
        <w:jc w:val="both"/>
        <w:rPr>
          <w:lang w:val="tr-TR" w:eastAsia="tr-TR"/>
        </w:rPr>
      </w:pPr>
      <w:r w:rsidRPr="00392ED6">
        <w:rPr>
          <w:lang w:val="tr-TR" w:eastAsia="tr-TR"/>
        </w:rPr>
        <w:t>2.2.5.2. Küçük Molekül VEGFR Kinaz İnhibitörleri</w:t>
      </w:r>
      <w:r w:rsidRPr="00392ED6">
        <w:rPr>
          <w:lang w:val="tr-TR" w:eastAsia="tr-TR"/>
        </w:rPr>
        <w:tab/>
        <w:t>11</w:t>
      </w:r>
    </w:p>
    <w:p w:rsidR="00392ED6" w:rsidRPr="00392ED6" w:rsidRDefault="00392ED6" w:rsidP="00392ED6">
      <w:pPr>
        <w:tabs>
          <w:tab w:val="right" w:leader="dot" w:pos="8505"/>
        </w:tabs>
        <w:autoSpaceDE w:val="0"/>
        <w:autoSpaceDN w:val="0"/>
        <w:adjustRightInd w:val="0"/>
        <w:spacing w:line="360" w:lineRule="auto"/>
        <w:ind w:left="709"/>
        <w:jc w:val="both"/>
        <w:rPr>
          <w:lang w:val="tr-TR" w:eastAsia="tr-TR"/>
        </w:rPr>
      </w:pPr>
      <w:r w:rsidRPr="00392ED6">
        <w:rPr>
          <w:lang w:val="tr-TR" w:eastAsia="tr-TR"/>
        </w:rPr>
        <w:t>2.2.5.3. Soluble VEGF Reseptörü</w:t>
      </w:r>
      <w:r w:rsidRPr="00392ED6">
        <w:rPr>
          <w:lang w:val="tr-TR" w:eastAsia="tr-TR"/>
        </w:rPr>
        <w:tab/>
        <w:t>11</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2.2.6. Kolorektal Kanserde Bevacizumab Tedavisi</w:t>
      </w:r>
      <w:r w:rsidRPr="00392ED6">
        <w:rPr>
          <w:lang w:val="tr-TR" w:eastAsia="tr-TR"/>
        </w:rPr>
        <w:tab/>
        <w:t>11</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2.2.6.1. Bevacizumab İlişkili Yan Etkiler</w:t>
      </w:r>
      <w:r w:rsidRPr="00392ED6">
        <w:rPr>
          <w:lang w:val="tr-TR" w:eastAsia="tr-TR"/>
        </w:rPr>
        <w:tab/>
        <w:t>12</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2.2.6.1.1. Hipertansiyon </w:t>
      </w:r>
      <w:r w:rsidRPr="00392ED6">
        <w:rPr>
          <w:lang w:val="tr-TR" w:eastAsia="tr-TR"/>
        </w:rPr>
        <w:tab/>
        <w:t>12</w:t>
      </w:r>
    </w:p>
    <w:p w:rsidR="00392ED6" w:rsidRPr="00392ED6" w:rsidRDefault="00392ED6" w:rsidP="00392ED6">
      <w:pPr>
        <w:tabs>
          <w:tab w:val="right" w:leader="dot" w:pos="8505"/>
        </w:tabs>
        <w:autoSpaceDE w:val="0"/>
        <w:autoSpaceDN w:val="0"/>
        <w:adjustRightInd w:val="0"/>
        <w:spacing w:line="360" w:lineRule="auto"/>
        <w:ind w:left="284"/>
        <w:jc w:val="both"/>
        <w:rPr>
          <w:lang w:val="tr-TR" w:eastAsia="tr-TR"/>
        </w:rPr>
      </w:pPr>
      <w:r w:rsidRPr="00392ED6">
        <w:rPr>
          <w:lang w:val="tr-TR" w:eastAsia="tr-TR"/>
        </w:rPr>
        <w:t xml:space="preserve">                    2.2.6.1.2. Diğer Yan Etkiler</w:t>
      </w:r>
      <w:r w:rsidRPr="00392ED6">
        <w:rPr>
          <w:lang w:val="tr-TR" w:eastAsia="tr-TR"/>
        </w:rPr>
        <w:tab/>
        <w:t>18</w:t>
      </w:r>
    </w:p>
    <w:p w:rsidR="00392ED6" w:rsidRPr="00392ED6" w:rsidRDefault="00392ED6" w:rsidP="00392ED6">
      <w:pPr>
        <w:tabs>
          <w:tab w:val="left" w:pos="1985"/>
          <w:tab w:val="left" w:pos="2268"/>
          <w:tab w:val="right" w:leader="dot" w:pos="8505"/>
        </w:tabs>
        <w:autoSpaceDE w:val="0"/>
        <w:autoSpaceDN w:val="0"/>
        <w:adjustRightInd w:val="0"/>
        <w:spacing w:line="360" w:lineRule="auto"/>
        <w:jc w:val="both"/>
        <w:rPr>
          <w:lang w:val="tr-TR" w:eastAsia="tr-TR"/>
        </w:rPr>
      </w:pPr>
    </w:p>
    <w:p w:rsidR="00392ED6" w:rsidRPr="00392ED6" w:rsidRDefault="00392ED6" w:rsidP="00392ED6">
      <w:pPr>
        <w:tabs>
          <w:tab w:val="left" w:pos="1985"/>
          <w:tab w:val="left" w:pos="2268"/>
          <w:tab w:val="right" w:leader="dot" w:pos="8505"/>
        </w:tabs>
        <w:autoSpaceDE w:val="0"/>
        <w:autoSpaceDN w:val="0"/>
        <w:adjustRightInd w:val="0"/>
        <w:spacing w:line="360" w:lineRule="auto"/>
        <w:jc w:val="both"/>
        <w:rPr>
          <w:lang w:val="tr-TR" w:eastAsia="tr-TR"/>
        </w:rPr>
      </w:pPr>
    </w:p>
    <w:p w:rsidR="00392ED6" w:rsidRPr="00392ED6" w:rsidRDefault="00392ED6" w:rsidP="00392ED6">
      <w:pPr>
        <w:tabs>
          <w:tab w:val="left" w:pos="1985"/>
          <w:tab w:val="left" w:pos="2268"/>
          <w:tab w:val="right" w:leader="dot" w:pos="8505"/>
        </w:tabs>
        <w:autoSpaceDE w:val="0"/>
        <w:autoSpaceDN w:val="0"/>
        <w:adjustRightInd w:val="0"/>
        <w:spacing w:line="360" w:lineRule="auto"/>
        <w:jc w:val="both"/>
        <w:rPr>
          <w:lang w:val="tr-TR" w:eastAsia="tr-TR"/>
        </w:rPr>
      </w:pPr>
      <w:r w:rsidRPr="00392ED6">
        <w:rPr>
          <w:lang w:val="tr-TR" w:eastAsia="tr-TR"/>
        </w:rPr>
        <w:lastRenderedPageBreak/>
        <w:t>3. HASTALAR ve YÖNTEM</w:t>
      </w:r>
      <w:r w:rsidRPr="00392ED6">
        <w:rPr>
          <w:lang w:val="tr-TR" w:eastAsia="tr-TR"/>
        </w:rPr>
        <w:tab/>
        <w:t>20</w:t>
      </w:r>
    </w:p>
    <w:p w:rsidR="00392ED6" w:rsidRPr="00392ED6" w:rsidRDefault="00392ED6" w:rsidP="00392ED6">
      <w:pPr>
        <w:tabs>
          <w:tab w:val="right" w:leader="dot" w:pos="8505"/>
        </w:tabs>
        <w:autoSpaceDE w:val="0"/>
        <w:autoSpaceDN w:val="0"/>
        <w:adjustRightInd w:val="0"/>
        <w:spacing w:line="360" w:lineRule="auto"/>
        <w:rPr>
          <w:lang w:val="tr-TR" w:eastAsia="tr-TR"/>
        </w:rPr>
      </w:pPr>
      <w:r w:rsidRPr="00392ED6">
        <w:rPr>
          <w:lang w:val="tr-TR" w:eastAsia="tr-TR"/>
        </w:rPr>
        <w:t>4. SONUÇLAR</w:t>
      </w:r>
      <w:r w:rsidRPr="00392ED6">
        <w:rPr>
          <w:lang w:val="tr-TR" w:eastAsia="tr-TR"/>
        </w:rPr>
        <w:tab/>
        <w:t>23</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4.1. Çalışma Grubuna Ait Sonuçlar</w:t>
      </w:r>
      <w:r w:rsidRPr="00392ED6">
        <w:rPr>
          <w:lang w:val="tr-TR" w:eastAsia="tr-TR"/>
        </w:rPr>
        <w:tab/>
        <w:t>23</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4.2. Hastalar ait serum ve idrar örnelerinin biyokimyasal analizlerin               sonuçları antijenler</w:t>
      </w:r>
      <w:r w:rsidRPr="00392ED6">
        <w:rPr>
          <w:lang w:val="tr-TR" w:eastAsia="tr-TR"/>
        </w:rPr>
        <w:tab/>
        <w:t>24</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4.3.Hastaların kan basınçları proteinüri durumları ve tümör cevapları yönünden değişimleri</w:t>
      </w:r>
      <w:r w:rsidRPr="00392ED6">
        <w:rPr>
          <w:lang w:val="tr-TR" w:eastAsia="tr-TR"/>
        </w:rPr>
        <w:tab/>
        <w:t>26</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 xml:space="preserve">            4.4. Biyokimyasal ve Klinik Bulguların Progresyonsuz Sağ Kalımla İlişkisi</w:t>
      </w:r>
      <w:r w:rsidRPr="00392ED6">
        <w:rPr>
          <w:lang w:val="tr-TR" w:eastAsia="tr-TR"/>
        </w:rPr>
        <w:tab/>
        <w:t>31</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5. TARTIŞMA</w:t>
      </w:r>
      <w:r w:rsidRPr="00392ED6">
        <w:rPr>
          <w:lang w:val="tr-TR" w:eastAsia="tr-TR"/>
        </w:rPr>
        <w:tab/>
        <w:t>39</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6. SONUÇ ve ÖNERİLER</w:t>
      </w:r>
      <w:r w:rsidRPr="00392ED6">
        <w:rPr>
          <w:lang w:val="tr-TR" w:eastAsia="tr-TR"/>
        </w:rPr>
        <w:tab/>
        <w:t>45</w:t>
      </w:r>
    </w:p>
    <w:p w:rsidR="00392ED6" w:rsidRPr="00392ED6" w:rsidRDefault="00392ED6" w:rsidP="00392ED6">
      <w:pPr>
        <w:tabs>
          <w:tab w:val="right" w:leader="dot" w:pos="8505"/>
        </w:tabs>
        <w:autoSpaceDE w:val="0"/>
        <w:autoSpaceDN w:val="0"/>
        <w:adjustRightInd w:val="0"/>
        <w:spacing w:line="360" w:lineRule="auto"/>
        <w:jc w:val="both"/>
        <w:rPr>
          <w:lang w:val="tr-TR" w:eastAsia="tr-TR"/>
        </w:rPr>
      </w:pPr>
      <w:r w:rsidRPr="00392ED6">
        <w:rPr>
          <w:lang w:val="tr-TR" w:eastAsia="tr-TR"/>
        </w:rPr>
        <w:t>7. KAYNAKLAR</w:t>
      </w:r>
      <w:r w:rsidRPr="00392ED6">
        <w:rPr>
          <w:lang w:val="tr-TR" w:eastAsia="tr-TR"/>
        </w:rPr>
        <w:tab/>
        <w:t>46</w:t>
      </w: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jc w:val="center"/>
        <w:outlineLvl w:val="0"/>
        <w:rPr>
          <w:b/>
          <w:sz w:val="28"/>
          <w:szCs w:val="28"/>
          <w:lang w:val="tr-TR" w:eastAsia="tr-TR"/>
        </w:rPr>
      </w:pPr>
      <w:r w:rsidRPr="00392ED6">
        <w:rPr>
          <w:b/>
          <w:sz w:val="28"/>
          <w:szCs w:val="28"/>
          <w:lang w:val="tr-TR" w:eastAsia="tr-TR"/>
        </w:rPr>
        <w:lastRenderedPageBreak/>
        <w:t>ŞEKİLLER LİSTESİ</w:t>
      </w:r>
    </w:p>
    <w:p w:rsidR="00392ED6" w:rsidRPr="00392ED6" w:rsidRDefault="00392ED6" w:rsidP="00392ED6">
      <w:pPr>
        <w:spacing w:line="360" w:lineRule="auto"/>
        <w:ind w:left="7090"/>
        <w:jc w:val="right"/>
        <w:outlineLvl w:val="0"/>
        <w:rPr>
          <w:b/>
          <w:lang w:val="tr-TR" w:eastAsia="tr-TR"/>
        </w:rPr>
      </w:pPr>
      <w:r w:rsidRPr="00392ED6">
        <w:rPr>
          <w:b/>
          <w:lang w:val="tr-TR" w:eastAsia="tr-TR"/>
        </w:rPr>
        <w:t xml:space="preserve">   Sayfa No:  </w:t>
      </w:r>
    </w:p>
    <w:p w:rsidR="00392ED6" w:rsidRPr="00392ED6" w:rsidRDefault="00392ED6" w:rsidP="00392ED6">
      <w:pPr>
        <w:spacing w:line="360" w:lineRule="auto"/>
        <w:rPr>
          <w:sz w:val="28"/>
          <w:szCs w:val="28"/>
          <w:lang w:val="tr-TR" w:eastAsia="tr-TR"/>
        </w:rPr>
      </w:pPr>
    </w:p>
    <w:p w:rsidR="00392ED6" w:rsidRPr="00392ED6" w:rsidRDefault="00392ED6" w:rsidP="00392ED6">
      <w:pPr>
        <w:tabs>
          <w:tab w:val="right" w:leader="dot" w:pos="8505"/>
        </w:tabs>
        <w:spacing w:line="360" w:lineRule="auto"/>
        <w:ind w:left="851" w:hanging="851"/>
        <w:rPr>
          <w:lang w:val="tr-TR" w:eastAsia="tr-TR"/>
        </w:rPr>
      </w:pPr>
      <w:r w:rsidRPr="00392ED6">
        <w:rPr>
          <w:lang w:val="tr-TR" w:eastAsia="tr-TR"/>
        </w:rPr>
        <w:t xml:space="preserve">Şekil1. </w:t>
      </w:r>
      <w:r w:rsidRPr="00392ED6">
        <w:rPr>
          <w:lang w:val="tr-TR" w:eastAsia="tr-TR"/>
        </w:rPr>
        <w:tab/>
      </w:r>
      <w:r w:rsidRPr="00392ED6">
        <w:rPr>
          <w:bCs/>
          <w:color w:val="000000"/>
          <w:lang w:val="tr-TR" w:eastAsia="tr-TR"/>
        </w:rPr>
        <w:t>Normal doku onarımı ve tümörlerde anjiogenezi uyaran ortak yollar</w:t>
      </w:r>
      <w:r w:rsidRPr="00392ED6">
        <w:rPr>
          <w:lang w:val="tr-TR" w:eastAsia="tr-TR"/>
        </w:rPr>
        <w:tab/>
        <w:t>6</w:t>
      </w:r>
    </w:p>
    <w:p w:rsidR="00392ED6" w:rsidRPr="00392ED6" w:rsidRDefault="00392ED6" w:rsidP="00392ED6">
      <w:pPr>
        <w:tabs>
          <w:tab w:val="right" w:leader="dot" w:pos="8505"/>
        </w:tabs>
        <w:spacing w:line="360" w:lineRule="auto"/>
        <w:ind w:left="851" w:hanging="851"/>
        <w:rPr>
          <w:lang w:val="tr-TR" w:eastAsia="tr-TR"/>
        </w:rPr>
      </w:pPr>
      <w:r w:rsidRPr="00392ED6">
        <w:rPr>
          <w:lang w:val="tr-TR" w:eastAsia="tr-TR"/>
        </w:rPr>
        <w:t xml:space="preserve">Şekil 2. </w:t>
      </w:r>
      <w:r w:rsidRPr="00392ED6">
        <w:rPr>
          <w:lang w:val="tr-TR" w:eastAsia="tr-TR"/>
        </w:rPr>
        <w:tab/>
      </w:r>
      <w:r w:rsidR="00E36B30">
        <w:rPr>
          <w:bCs/>
          <w:color w:val="000000"/>
          <w:lang w:val="tr-TR" w:eastAsia="tr-TR"/>
        </w:rPr>
        <w:t>Renin Anj</w:t>
      </w:r>
      <w:r w:rsidRPr="00392ED6">
        <w:rPr>
          <w:bCs/>
          <w:color w:val="000000"/>
          <w:lang w:val="tr-TR" w:eastAsia="tr-TR"/>
        </w:rPr>
        <w:t>i</w:t>
      </w:r>
      <w:r w:rsidR="00E36B30">
        <w:rPr>
          <w:bCs/>
          <w:color w:val="000000"/>
          <w:lang w:val="tr-TR" w:eastAsia="tr-TR"/>
        </w:rPr>
        <w:t>y</w:t>
      </w:r>
      <w:r w:rsidRPr="00392ED6">
        <w:rPr>
          <w:bCs/>
          <w:color w:val="000000"/>
          <w:lang w:val="tr-TR" w:eastAsia="tr-TR"/>
        </w:rPr>
        <w:t>otensin Aldosteron Sistemi</w:t>
      </w:r>
      <w:r w:rsidRPr="00392ED6">
        <w:rPr>
          <w:lang w:val="tr-TR" w:eastAsia="tr-TR"/>
        </w:rPr>
        <w:tab/>
        <w:t>9</w:t>
      </w:r>
    </w:p>
    <w:p w:rsidR="00392ED6" w:rsidRPr="00392ED6" w:rsidRDefault="00392ED6" w:rsidP="00392ED6">
      <w:pPr>
        <w:tabs>
          <w:tab w:val="right" w:leader="dot" w:pos="8505"/>
        </w:tabs>
        <w:spacing w:line="360" w:lineRule="auto"/>
        <w:ind w:left="851" w:hanging="851"/>
        <w:rPr>
          <w:lang w:val="tr-TR" w:eastAsia="tr-TR"/>
        </w:rPr>
      </w:pPr>
      <w:r w:rsidRPr="00392ED6">
        <w:rPr>
          <w:lang w:val="tr-TR" w:eastAsia="tr-TR"/>
        </w:rPr>
        <w:t xml:space="preserve">Şekil 3. </w:t>
      </w:r>
      <w:r w:rsidRPr="00392ED6">
        <w:rPr>
          <w:lang w:val="tr-TR" w:eastAsia="tr-TR"/>
        </w:rPr>
        <w:tab/>
      </w:r>
      <w:r w:rsidRPr="00392ED6">
        <w:rPr>
          <w:bCs/>
          <w:color w:val="000000"/>
          <w:lang w:val="tr-TR" w:eastAsia="tr-TR"/>
        </w:rPr>
        <w:t>VEGF inhibitörleriyle gelişen hipertansiyonun mekanizması</w:t>
      </w:r>
      <w:r w:rsidRPr="00392ED6">
        <w:rPr>
          <w:lang w:val="tr-TR" w:eastAsia="tr-TR"/>
        </w:rPr>
        <w:tab/>
        <w:t>15</w:t>
      </w:r>
    </w:p>
    <w:p w:rsidR="00392ED6" w:rsidRPr="00392ED6" w:rsidRDefault="00392ED6" w:rsidP="00392ED6">
      <w:pPr>
        <w:tabs>
          <w:tab w:val="right" w:leader="dot" w:pos="8505"/>
        </w:tabs>
        <w:spacing w:line="360" w:lineRule="auto"/>
        <w:ind w:left="851" w:hanging="851"/>
        <w:rPr>
          <w:lang w:val="tr-TR" w:eastAsia="tr-TR"/>
        </w:rPr>
      </w:pPr>
      <w:r w:rsidRPr="00392ED6">
        <w:rPr>
          <w:lang w:val="tr-TR" w:eastAsia="tr-TR"/>
        </w:rPr>
        <w:t xml:space="preserve">Şekil 4. </w:t>
      </w:r>
      <w:r w:rsidRPr="00392ED6">
        <w:rPr>
          <w:lang w:val="tr-TR" w:eastAsia="tr-TR"/>
        </w:rPr>
        <w:tab/>
      </w:r>
      <w:r w:rsidRPr="00392ED6">
        <w:rPr>
          <w:bCs/>
          <w:color w:val="000000"/>
          <w:lang w:val="tr-TR" w:eastAsia="tr-TR"/>
        </w:rPr>
        <w:t>VEGF ve VEGFR Renal Ekspresyonu</w:t>
      </w:r>
      <w:r w:rsidRPr="00392ED6">
        <w:rPr>
          <w:lang w:val="tr-TR" w:eastAsia="tr-TR"/>
        </w:rPr>
        <w:tab/>
        <w:t>16</w:t>
      </w:r>
    </w:p>
    <w:p w:rsidR="00392ED6" w:rsidRPr="00392ED6" w:rsidRDefault="00392ED6" w:rsidP="00392ED6">
      <w:pPr>
        <w:spacing w:line="360" w:lineRule="auto"/>
        <w:jc w:val="both"/>
        <w:rPr>
          <w:lang w:val="tr-TR" w:eastAsia="tr-TR"/>
        </w:rPr>
      </w:pPr>
      <w:r w:rsidRPr="00392ED6">
        <w:rPr>
          <w:lang w:val="tr-TR" w:eastAsia="tr-TR"/>
        </w:rPr>
        <w:t>Şekil 5. Hastalarda 6 siklus tedavi sonrası kan basıncı değişimleri</w:t>
      </w:r>
      <w:proofErr w:type="gramStart"/>
      <w:r w:rsidRPr="00392ED6">
        <w:rPr>
          <w:lang w:val="tr-TR" w:eastAsia="tr-TR"/>
        </w:rPr>
        <w:t>…….……………..</w:t>
      </w:r>
      <w:proofErr w:type="gramEnd"/>
      <w:r w:rsidRPr="00392ED6">
        <w:rPr>
          <w:lang w:val="tr-TR" w:eastAsia="tr-TR"/>
        </w:rPr>
        <w:t>27</w:t>
      </w:r>
    </w:p>
    <w:p w:rsidR="00392ED6" w:rsidRPr="00392ED6" w:rsidRDefault="00392ED6" w:rsidP="00392ED6">
      <w:pPr>
        <w:tabs>
          <w:tab w:val="right" w:leader="dot" w:pos="8505"/>
        </w:tabs>
        <w:spacing w:line="360" w:lineRule="auto"/>
        <w:ind w:left="851" w:hanging="851"/>
        <w:rPr>
          <w:lang w:val="tr-TR" w:eastAsia="tr-TR"/>
        </w:rPr>
      </w:pPr>
      <w:r w:rsidRPr="00392ED6">
        <w:rPr>
          <w:lang w:val="tr-TR" w:eastAsia="tr-TR"/>
        </w:rPr>
        <w:t>Şekil 6.</w:t>
      </w:r>
      <w:r w:rsidRPr="00392ED6">
        <w:rPr>
          <w:b/>
          <w:lang w:val="tr-TR" w:eastAsia="tr-TR"/>
        </w:rPr>
        <w:t xml:space="preserve"> </w:t>
      </w:r>
      <w:r w:rsidRPr="00392ED6">
        <w:rPr>
          <w:lang w:val="tr-TR" w:eastAsia="tr-TR"/>
        </w:rPr>
        <w:t>Hastalarda 6 siklus tedavi sonrası proteinüri gelişimi</w:t>
      </w:r>
      <w:r w:rsidRPr="00392ED6">
        <w:rPr>
          <w:lang w:val="tr-TR" w:eastAsia="tr-TR"/>
        </w:rPr>
        <w:tab/>
        <w:t>28</w:t>
      </w:r>
    </w:p>
    <w:p w:rsidR="00392ED6" w:rsidRPr="00392ED6" w:rsidRDefault="00392ED6" w:rsidP="00392ED6">
      <w:pPr>
        <w:tabs>
          <w:tab w:val="right" w:leader="dot" w:pos="8505"/>
        </w:tabs>
        <w:spacing w:line="360" w:lineRule="auto"/>
        <w:ind w:left="851" w:hanging="851"/>
        <w:rPr>
          <w:lang w:val="tr-TR" w:eastAsia="tr-TR"/>
        </w:rPr>
      </w:pPr>
      <w:r w:rsidRPr="00392ED6">
        <w:rPr>
          <w:lang w:val="tr-TR" w:eastAsia="tr-TR"/>
        </w:rPr>
        <w:t>Şekil 7. Hastalarda 6 siklus tedavi sonrası tümör yanıtı</w:t>
      </w:r>
      <w:r w:rsidRPr="00392ED6">
        <w:rPr>
          <w:lang w:val="tr-TR" w:eastAsia="tr-TR"/>
        </w:rPr>
        <w:tab/>
        <w:t>29</w:t>
      </w:r>
    </w:p>
    <w:p w:rsidR="00392ED6" w:rsidRPr="00392ED6" w:rsidRDefault="00392ED6" w:rsidP="00392ED6">
      <w:pPr>
        <w:tabs>
          <w:tab w:val="right" w:leader="dot" w:pos="8505"/>
        </w:tabs>
        <w:spacing w:line="360" w:lineRule="auto"/>
        <w:ind w:left="851" w:hanging="851"/>
        <w:rPr>
          <w:lang w:val="tr-TR" w:eastAsia="tr-TR"/>
        </w:rPr>
      </w:pPr>
      <w:r w:rsidRPr="00392ED6">
        <w:rPr>
          <w:lang w:val="tr-TR" w:eastAsia="tr-TR"/>
        </w:rPr>
        <w:t>Şekil 8. Hastalarda 6 siklus tedavi sonrası serum VEGF düzeyleri ile tümör cevabı arasındaki ilişki</w:t>
      </w:r>
      <w:r w:rsidRPr="00392ED6">
        <w:rPr>
          <w:lang w:val="tr-TR" w:eastAsia="tr-TR"/>
        </w:rPr>
        <w:tab/>
        <w:t>30</w:t>
      </w:r>
    </w:p>
    <w:p w:rsidR="00392ED6" w:rsidRPr="00392ED6" w:rsidRDefault="00392ED6" w:rsidP="00392ED6">
      <w:pPr>
        <w:tabs>
          <w:tab w:val="right" w:leader="dot" w:pos="8505"/>
        </w:tabs>
        <w:spacing w:line="360" w:lineRule="auto"/>
        <w:ind w:left="851" w:hanging="851"/>
        <w:rPr>
          <w:lang w:val="tr-TR" w:eastAsia="tr-TR"/>
        </w:rPr>
      </w:pPr>
      <w:r w:rsidRPr="00392ED6">
        <w:rPr>
          <w:lang w:val="tr-TR" w:eastAsia="tr-TR"/>
        </w:rPr>
        <w:t>Şekil 9.</w:t>
      </w:r>
      <w:r w:rsidRPr="00392ED6">
        <w:rPr>
          <w:lang w:val="tr-TR" w:eastAsia="tr-TR"/>
        </w:rPr>
        <w:tab/>
        <w:t>Hastalarda 6 siklus tedavi sonrası serum ANG II düzeyleri ile hipertansiyon arasındaki ilişki</w:t>
      </w:r>
      <w:r w:rsidRPr="00392ED6">
        <w:rPr>
          <w:lang w:val="tr-TR" w:eastAsia="tr-TR"/>
        </w:rPr>
        <w:tab/>
        <w:t>31</w:t>
      </w:r>
    </w:p>
    <w:p w:rsidR="00392ED6" w:rsidRPr="00392ED6" w:rsidRDefault="00392ED6" w:rsidP="00392ED6">
      <w:pPr>
        <w:tabs>
          <w:tab w:val="right" w:leader="dot" w:pos="8505"/>
        </w:tabs>
        <w:spacing w:line="360" w:lineRule="auto"/>
        <w:ind w:left="851" w:hanging="851"/>
        <w:rPr>
          <w:lang w:val="tr-TR" w:eastAsia="tr-TR"/>
        </w:rPr>
      </w:pPr>
      <w:r w:rsidRPr="00392ED6">
        <w:rPr>
          <w:lang w:val="tr-TR" w:eastAsia="tr-TR"/>
        </w:rPr>
        <w:t>Şekil10.</w:t>
      </w:r>
      <w:r w:rsidRPr="00392ED6">
        <w:rPr>
          <w:lang w:val="tr-TR" w:eastAsia="tr-TR"/>
        </w:rPr>
        <w:tab/>
        <w:t>Hastalara ait progresyonsuz sağ kalım eğrisi</w:t>
      </w:r>
      <w:r w:rsidRPr="00392ED6">
        <w:rPr>
          <w:lang w:val="tr-TR" w:eastAsia="tr-TR"/>
        </w:rPr>
        <w:tab/>
        <w:t>32</w:t>
      </w:r>
    </w:p>
    <w:p w:rsidR="00392ED6" w:rsidRPr="00392ED6" w:rsidRDefault="00392ED6" w:rsidP="00392ED6">
      <w:pPr>
        <w:tabs>
          <w:tab w:val="right" w:leader="dot" w:pos="8505"/>
        </w:tabs>
        <w:spacing w:line="360" w:lineRule="auto"/>
        <w:ind w:left="851" w:hanging="851"/>
        <w:rPr>
          <w:lang w:val="tr-TR" w:eastAsia="tr-TR"/>
        </w:rPr>
      </w:pPr>
      <w:r w:rsidRPr="00392ED6">
        <w:rPr>
          <w:lang w:val="tr-TR" w:eastAsia="tr-TR"/>
        </w:rPr>
        <w:t>Şekil11.</w:t>
      </w:r>
      <w:r w:rsidRPr="00392ED6">
        <w:rPr>
          <w:lang w:val="tr-TR" w:eastAsia="tr-TR"/>
        </w:rPr>
        <w:tab/>
      </w:r>
      <w:r w:rsidRPr="00392ED6">
        <w:rPr>
          <w:bCs/>
          <w:lang w:val="tr-TR" w:eastAsia="tr-TR"/>
        </w:rPr>
        <w:t>Hipertansiyon gelişimi</w:t>
      </w:r>
      <w:r w:rsidRPr="00392ED6">
        <w:rPr>
          <w:lang w:val="tr-TR" w:eastAsia="tr-TR"/>
        </w:rPr>
        <w:t xml:space="preserve"> progresyonsuz</w:t>
      </w:r>
      <w:r w:rsidRPr="00392ED6">
        <w:rPr>
          <w:bCs/>
          <w:lang w:val="tr-TR" w:eastAsia="tr-TR"/>
        </w:rPr>
        <w:t xml:space="preserve"> sağ kalım eğrisi</w:t>
      </w:r>
      <w:r w:rsidRPr="00392ED6">
        <w:rPr>
          <w:lang w:val="tr-TR" w:eastAsia="tr-TR"/>
        </w:rPr>
        <w:tab/>
        <w:t>33</w:t>
      </w:r>
    </w:p>
    <w:p w:rsidR="00392ED6" w:rsidRPr="00392ED6" w:rsidRDefault="00392ED6" w:rsidP="00392ED6">
      <w:pPr>
        <w:tabs>
          <w:tab w:val="right" w:leader="dot" w:pos="8505"/>
        </w:tabs>
        <w:spacing w:line="360" w:lineRule="auto"/>
        <w:ind w:left="851" w:hanging="851"/>
        <w:rPr>
          <w:lang w:val="tr-TR" w:eastAsia="tr-TR"/>
        </w:rPr>
      </w:pPr>
      <w:r w:rsidRPr="00392ED6">
        <w:rPr>
          <w:lang w:val="tr-TR" w:eastAsia="tr-TR"/>
        </w:rPr>
        <w:t>Şekil12.</w:t>
      </w:r>
      <w:r w:rsidRPr="00392ED6">
        <w:rPr>
          <w:lang w:val="tr-TR" w:eastAsia="tr-TR"/>
        </w:rPr>
        <w:tab/>
      </w:r>
      <w:r w:rsidRPr="00392ED6">
        <w:rPr>
          <w:bCs/>
          <w:lang w:val="tr-TR" w:eastAsia="tr-TR"/>
        </w:rPr>
        <w:t xml:space="preserve">Proteinüri gelişimi </w:t>
      </w:r>
      <w:r w:rsidRPr="00392ED6">
        <w:rPr>
          <w:lang w:val="tr-TR" w:eastAsia="tr-TR"/>
        </w:rPr>
        <w:t>progresyonsuz</w:t>
      </w:r>
      <w:r w:rsidRPr="00392ED6">
        <w:rPr>
          <w:bCs/>
          <w:lang w:val="tr-TR" w:eastAsia="tr-TR"/>
        </w:rPr>
        <w:t xml:space="preserve"> sağ kalım eğrisi</w:t>
      </w:r>
      <w:r w:rsidRPr="00392ED6">
        <w:rPr>
          <w:lang w:val="tr-TR" w:eastAsia="tr-TR"/>
        </w:rPr>
        <w:tab/>
        <w:t>34</w:t>
      </w:r>
    </w:p>
    <w:p w:rsidR="00392ED6" w:rsidRPr="00392ED6" w:rsidRDefault="00392ED6" w:rsidP="00392ED6">
      <w:pPr>
        <w:tabs>
          <w:tab w:val="right" w:leader="dot" w:pos="8505"/>
        </w:tabs>
        <w:spacing w:line="360" w:lineRule="auto"/>
        <w:ind w:left="851" w:hanging="851"/>
        <w:rPr>
          <w:bCs/>
          <w:lang w:val="tr-TR" w:eastAsia="tr-TR"/>
        </w:rPr>
      </w:pPr>
      <w:r w:rsidRPr="00392ED6">
        <w:rPr>
          <w:lang w:val="tr-TR" w:eastAsia="tr-TR"/>
        </w:rPr>
        <w:t>Şekil13.</w:t>
      </w:r>
      <w:r w:rsidRPr="00392ED6">
        <w:rPr>
          <w:b/>
          <w:bCs/>
          <w:lang w:val="tr-TR" w:eastAsia="tr-TR"/>
        </w:rPr>
        <w:t xml:space="preserve"> </w:t>
      </w:r>
      <w:r w:rsidRPr="00392ED6">
        <w:rPr>
          <w:bCs/>
          <w:lang w:val="tr-TR" w:eastAsia="tr-TR"/>
        </w:rPr>
        <w:t>VEGF değişimine göre progresyonsuz sağ kalım eğrisi</w:t>
      </w:r>
      <w:proofErr w:type="gramStart"/>
      <w:r w:rsidRPr="00392ED6">
        <w:rPr>
          <w:bCs/>
          <w:lang w:val="tr-TR" w:eastAsia="tr-TR"/>
        </w:rPr>
        <w:t>……………………....</w:t>
      </w:r>
      <w:proofErr w:type="gramEnd"/>
      <w:r w:rsidRPr="00392ED6">
        <w:rPr>
          <w:bCs/>
          <w:lang w:val="tr-TR" w:eastAsia="tr-TR"/>
        </w:rPr>
        <w:t>36</w:t>
      </w:r>
    </w:p>
    <w:p w:rsidR="00392ED6" w:rsidRPr="00392ED6" w:rsidRDefault="00392ED6" w:rsidP="00392ED6">
      <w:pPr>
        <w:tabs>
          <w:tab w:val="right" w:leader="dot" w:pos="8505"/>
        </w:tabs>
        <w:spacing w:line="360" w:lineRule="auto"/>
        <w:ind w:left="851" w:hanging="851"/>
        <w:rPr>
          <w:bCs/>
          <w:lang w:val="tr-TR" w:eastAsia="tr-TR"/>
        </w:rPr>
      </w:pPr>
      <w:r w:rsidRPr="00392ED6">
        <w:rPr>
          <w:lang w:val="tr-TR" w:eastAsia="tr-TR"/>
        </w:rPr>
        <w:t>Şekil14.</w:t>
      </w:r>
      <w:r w:rsidRPr="00392ED6">
        <w:rPr>
          <w:b/>
          <w:bCs/>
          <w:lang w:val="tr-TR" w:eastAsia="tr-TR"/>
        </w:rPr>
        <w:t xml:space="preserve"> </w:t>
      </w:r>
      <w:r w:rsidRPr="00392ED6">
        <w:rPr>
          <w:bCs/>
          <w:lang w:val="tr-TR" w:eastAsia="tr-TR"/>
        </w:rPr>
        <w:t>NO değişimine göre progresyonsuz sağ kalım eğrisi</w:t>
      </w:r>
      <w:proofErr w:type="gramStart"/>
      <w:r w:rsidRPr="00392ED6">
        <w:rPr>
          <w:bCs/>
          <w:lang w:val="tr-TR" w:eastAsia="tr-TR"/>
        </w:rPr>
        <w:t>…………………..……...</w:t>
      </w:r>
      <w:proofErr w:type="gramEnd"/>
      <w:r w:rsidRPr="00392ED6">
        <w:rPr>
          <w:bCs/>
          <w:lang w:val="tr-TR" w:eastAsia="tr-TR"/>
        </w:rPr>
        <w:t>37</w:t>
      </w:r>
    </w:p>
    <w:p w:rsidR="00392ED6" w:rsidRPr="00392ED6" w:rsidRDefault="00392ED6" w:rsidP="00392ED6">
      <w:pPr>
        <w:tabs>
          <w:tab w:val="right" w:leader="dot" w:pos="8505"/>
        </w:tabs>
        <w:spacing w:line="360" w:lineRule="auto"/>
        <w:ind w:left="851" w:hanging="851"/>
        <w:rPr>
          <w:lang w:val="tr-TR" w:eastAsia="tr-TR"/>
        </w:rPr>
      </w:pPr>
      <w:r w:rsidRPr="00392ED6">
        <w:rPr>
          <w:bCs/>
          <w:lang w:val="tr-TR" w:eastAsia="tr-TR"/>
        </w:rPr>
        <w:t>Şekil15.</w:t>
      </w:r>
      <w:r w:rsidRPr="00392ED6">
        <w:rPr>
          <w:b/>
          <w:bCs/>
          <w:lang w:val="tr-TR" w:eastAsia="tr-TR"/>
        </w:rPr>
        <w:t xml:space="preserve"> </w:t>
      </w:r>
      <w:r w:rsidRPr="00392ED6">
        <w:rPr>
          <w:bCs/>
          <w:lang w:val="tr-TR" w:eastAsia="tr-TR"/>
        </w:rPr>
        <w:t>ANG II değişimine göre progresyonsuz sağ kalım eğrisi</w:t>
      </w:r>
      <w:proofErr w:type="gramStart"/>
      <w:r w:rsidRPr="00392ED6">
        <w:rPr>
          <w:bCs/>
          <w:lang w:val="tr-TR" w:eastAsia="tr-TR"/>
        </w:rPr>
        <w:t>……………..………</w:t>
      </w:r>
      <w:proofErr w:type="gramEnd"/>
      <w:r w:rsidRPr="00392ED6">
        <w:rPr>
          <w:bCs/>
          <w:lang w:val="tr-TR" w:eastAsia="tr-TR"/>
        </w:rPr>
        <w:t>38</w:t>
      </w:r>
    </w:p>
    <w:p w:rsidR="00392ED6" w:rsidRPr="00392ED6" w:rsidRDefault="00392ED6" w:rsidP="00392ED6">
      <w:pPr>
        <w:tabs>
          <w:tab w:val="right" w:leader="dot" w:pos="8505"/>
        </w:tabs>
        <w:spacing w:line="360" w:lineRule="auto"/>
        <w:rPr>
          <w:lang w:val="tr-TR" w:eastAsia="tr-TR"/>
        </w:rPr>
      </w:pPr>
    </w:p>
    <w:p w:rsidR="00392ED6" w:rsidRPr="00392ED6" w:rsidRDefault="00392ED6" w:rsidP="00392ED6">
      <w:pPr>
        <w:tabs>
          <w:tab w:val="right" w:leader="dot" w:pos="8505"/>
        </w:tabs>
        <w:spacing w:line="360" w:lineRule="auto"/>
        <w:rPr>
          <w:lang w:val="tr-TR" w:eastAsia="tr-TR"/>
        </w:rPr>
      </w:pPr>
    </w:p>
    <w:p w:rsidR="00392ED6" w:rsidRPr="00392ED6" w:rsidRDefault="00392ED6" w:rsidP="00392ED6">
      <w:pPr>
        <w:tabs>
          <w:tab w:val="right" w:leader="dot" w:pos="8505"/>
        </w:tabs>
        <w:spacing w:line="360" w:lineRule="auto"/>
        <w:rPr>
          <w:lang w:val="tr-TR" w:eastAsia="tr-TR"/>
        </w:rPr>
      </w:pPr>
    </w:p>
    <w:p w:rsidR="00392ED6" w:rsidRPr="00392ED6" w:rsidRDefault="00392ED6" w:rsidP="00392ED6">
      <w:pPr>
        <w:tabs>
          <w:tab w:val="right" w:leader="dot" w:pos="8505"/>
        </w:tabs>
        <w:spacing w:line="360" w:lineRule="auto"/>
        <w:rPr>
          <w:lang w:val="tr-TR" w:eastAsia="tr-TR"/>
        </w:rPr>
      </w:pPr>
    </w:p>
    <w:p w:rsidR="00392ED6" w:rsidRPr="00392ED6" w:rsidRDefault="00392ED6" w:rsidP="00392ED6">
      <w:pPr>
        <w:spacing w:before="240" w:after="60"/>
        <w:jc w:val="center"/>
        <w:outlineLvl w:val="0"/>
        <w:rPr>
          <w:b/>
          <w:bCs/>
          <w:kern w:val="28"/>
          <w:sz w:val="28"/>
          <w:szCs w:val="28"/>
          <w:lang w:val="tr-TR" w:eastAsia="tr-TR"/>
        </w:rPr>
      </w:pPr>
      <w:r w:rsidRPr="00392ED6">
        <w:rPr>
          <w:b/>
          <w:bCs/>
          <w:kern w:val="28"/>
          <w:sz w:val="28"/>
          <w:szCs w:val="28"/>
          <w:lang w:val="tr-TR" w:eastAsia="tr-TR"/>
        </w:rPr>
        <w:br w:type="page"/>
      </w:r>
      <w:r w:rsidRPr="00392ED6">
        <w:rPr>
          <w:b/>
          <w:bCs/>
          <w:kern w:val="28"/>
          <w:sz w:val="28"/>
          <w:szCs w:val="28"/>
          <w:lang w:val="tr-TR" w:eastAsia="tr-TR"/>
        </w:rPr>
        <w:lastRenderedPageBreak/>
        <w:t>TABLOLAR LİSTESİ</w:t>
      </w:r>
    </w:p>
    <w:p w:rsidR="00392ED6" w:rsidRPr="00392ED6" w:rsidRDefault="00392ED6" w:rsidP="00392ED6">
      <w:pPr>
        <w:spacing w:line="360" w:lineRule="auto"/>
        <w:ind w:left="7090"/>
        <w:jc w:val="right"/>
        <w:outlineLvl w:val="0"/>
        <w:rPr>
          <w:b/>
          <w:lang w:val="tr-TR" w:eastAsia="tr-TR"/>
        </w:rPr>
      </w:pPr>
      <w:r w:rsidRPr="00392ED6">
        <w:rPr>
          <w:b/>
          <w:lang w:val="tr-TR" w:eastAsia="tr-TR"/>
        </w:rPr>
        <w:t xml:space="preserve"> Sayfa No:</w:t>
      </w:r>
    </w:p>
    <w:p w:rsidR="00392ED6" w:rsidRPr="00392ED6" w:rsidRDefault="00392ED6" w:rsidP="00392ED6">
      <w:pPr>
        <w:spacing w:line="360" w:lineRule="auto"/>
        <w:ind w:left="5664" w:firstLine="708"/>
        <w:rPr>
          <w:b/>
          <w:sz w:val="28"/>
          <w:szCs w:val="28"/>
          <w:lang w:val="tr-TR" w:eastAsia="tr-TR"/>
        </w:rPr>
      </w:pPr>
    </w:p>
    <w:p w:rsidR="00392ED6" w:rsidRPr="00392ED6" w:rsidRDefault="00392ED6" w:rsidP="00392ED6">
      <w:pPr>
        <w:tabs>
          <w:tab w:val="right" w:leader="dot" w:pos="8505"/>
        </w:tabs>
        <w:spacing w:line="360" w:lineRule="auto"/>
        <w:ind w:left="1134" w:hanging="1134"/>
        <w:rPr>
          <w:lang w:val="tr-TR" w:eastAsia="tr-TR"/>
        </w:rPr>
      </w:pPr>
      <w:r w:rsidRPr="00392ED6">
        <w:rPr>
          <w:lang w:val="tr-TR" w:eastAsia="tr-TR"/>
        </w:rPr>
        <w:t xml:space="preserve">Tablo1. </w:t>
      </w:r>
      <w:r w:rsidRPr="00392ED6">
        <w:rPr>
          <w:lang w:val="tr-TR" w:eastAsia="tr-TR"/>
        </w:rPr>
        <w:tab/>
        <w:t>JNC 7 Hipertansiyon Sınıflaması</w:t>
      </w:r>
      <w:r w:rsidRPr="00392ED6">
        <w:rPr>
          <w:lang w:val="tr-TR" w:eastAsia="tr-TR"/>
        </w:rPr>
        <w:tab/>
      </w:r>
      <w:proofErr w:type="gramStart"/>
      <w:r>
        <w:rPr>
          <w:lang w:val="tr-TR" w:eastAsia="tr-TR"/>
        </w:rPr>
        <w:t>…….</w:t>
      </w:r>
      <w:r w:rsidRPr="00392ED6">
        <w:rPr>
          <w:lang w:val="tr-TR" w:eastAsia="tr-TR"/>
        </w:rPr>
        <w:t>.</w:t>
      </w:r>
      <w:proofErr w:type="gramEnd"/>
      <w:r w:rsidRPr="00392ED6">
        <w:rPr>
          <w:lang w:val="tr-TR" w:eastAsia="tr-TR"/>
        </w:rPr>
        <w:t>13</w:t>
      </w:r>
    </w:p>
    <w:p w:rsidR="00392ED6" w:rsidRPr="00392ED6" w:rsidRDefault="00392ED6" w:rsidP="00392ED6">
      <w:pPr>
        <w:tabs>
          <w:tab w:val="right" w:leader="dot" w:pos="8505"/>
        </w:tabs>
        <w:autoSpaceDE w:val="0"/>
        <w:autoSpaceDN w:val="0"/>
        <w:adjustRightInd w:val="0"/>
        <w:spacing w:line="360" w:lineRule="auto"/>
        <w:ind w:left="1134" w:hanging="1134"/>
        <w:rPr>
          <w:bCs/>
          <w:lang w:val="tr-TR" w:eastAsia="tr-TR"/>
        </w:rPr>
      </w:pPr>
      <w:r w:rsidRPr="00392ED6">
        <w:rPr>
          <w:bCs/>
          <w:lang w:val="tr-TR" w:eastAsia="tr-TR"/>
        </w:rPr>
        <w:t>Tablo2.</w:t>
      </w:r>
      <w:r w:rsidRPr="00392ED6">
        <w:rPr>
          <w:lang w:val="tr-TR" w:eastAsia="tr-TR"/>
        </w:rPr>
        <w:t xml:space="preserve"> </w:t>
      </w:r>
      <w:r w:rsidRPr="00392ED6">
        <w:rPr>
          <w:lang w:val="tr-TR" w:eastAsia="tr-TR"/>
        </w:rPr>
        <w:tab/>
      </w:r>
      <w:r w:rsidRPr="00392ED6">
        <w:rPr>
          <w:bCs/>
          <w:lang w:val="tr-TR" w:eastAsia="tr-TR"/>
        </w:rPr>
        <w:t>‘</w:t>
      </w:r>
      <w:r w:rsidRPr="00392ED6">
        <w:rPr>
          <w:i/>
          <w:lang w:val="tr-TR" w:eastAsia="tr-TR"/>
        </w:rPr>
        <w:t>Common Terminology Criteria for Adverse Events referring to hypertension v3.0 (CTCAE)’</w:t>
      </w:r>
      <w:r w:rsidRPr="00392ED6">
        <w:rPr>
          <w:bCs/>
          <w:lang w:val="tr-TR" w:eastAsia="tr-TR"/>
        </w:rPr>
        <w:tab/>
      </w:r>
      <w:proofErr w:type="gramStart"/>
      <w:r w:rsidRPr="00392ED6">
        <w:rPr>
          <w:bCs/>
          <w:lang w:val="tr-TR" w:eastAsia="tr-TR"/>
        </w:rPr>
        <w:t>……..</w:t>
      </w:r>
      <w:proofErr w:type="gramEnd"/>
      <w:r w:rsidRPr="00392ED6">
        <w:rPr>
          <w:bCs/>
          <w:lang w:val="tr-TR" w:eastAsia="tr-TR"/>
        </w:rPr>
        <w:t>13</w:t>
      </w:r>
    </w:p>
    <w:p w:rsidR="00392ED6" w:rsidRPr="00392ED6" w:rsidRDefault="00392ED6" w:rsidP="00392ED6">
      <w:pPr>
        <w:tabs>
          <w:tab w:val="right" w:leader="dot" w:pos="8505"/>
        </w:tabs>
        <w:autoSpaceDE w:val="0"/>
        <w:autoSpaceDN w:val="0"/>
        <w:adjustRightInd w:val="0"/>
        <w:spacing w:line="360" w:lineRule="auto"/>
        <w:ind w:left="1134" w:hanging="1134"/>
        <w:rPr>
          <w:bCs/>
          <w:lang w:val="tr-TR" w:eastAsia="tr-TR"/>
        </w:rPr>
      </w:pPr>
      <w:r w:rsidRPr="00392ED6">
        <w:rPr>
          <w:bCs/>
          <w:lang w:val="tr-TR" w:eastAsia="tr-TR"/>
        </w:rPr>
        <w:t>Tablo3.</w:t>
      </w:r>
      <w:r w:rsidRPr="00392ED6">
        <w:rPr>
          <w:lang w:val="tr-TR" w:eastAsia="tr-TR"/>
        </w:rPr>
        <w:t xml:space="preserve"> </w:t>
      </w:r>
      <w:r w:rsidRPr="00392ED6">
        <w:rPr>
          <w:lang w:val="tr-TR" w:eastAsia="tr-TR"/>
        </w:rPr>
        <w:tab/>
      </w:r>
      <w:r w:rsidRPr="00392ED6">
        <w:rPr>
          <w:bCs/>
          <w:color w:val="000000"/>
          <w:lang w:val="tr-TR" w:eastAsia="tr-TR"/>
        </w:rPr>
        <w:t>Bevacizumab ilişkili hipertansiyonun faz III çalışmalarda insidansı</w:t>
      </w:r>
      <w:r w:rsidRPr="00392ED6">
        <w:rPr>
          <w:bCs/>
          <w:lang w:val="tr-TR" w:eastAsia="tr-TR"/>
        </w:rPr>
        <w:tab/>
      </w:r>
      <w:proofErr w:type="gramStart"/>
      <w:r w:rsidRPr="00392ED6">
        <w:rPr>
          <w:bCs/>
          <w:lang w:val="tr-TR" w:eastAsia="tr-TR"/>
        </w:rPr>
        <w:t>……..</w:t>
      </w:r>
      <w:proofErr w:type="gramEnd"/>
      <w:r w:rsidRPr="00392ED6">
        <w:rPr>
          <w:bCs/>
          <w:lang w:val="tr-TR" w:eastAsia="tr-TR"/>
        </w:rPr>
        <w:t>17</w:t>
      </w:r>
    </w:p>
    <w:p w:rsidR="00392ED6" w:rsidRPr="00392ED6" w:rsidRDefault="00392ED6" w:rsidP="00392ED6">
      <w:pPr>
        <w:tabs>
          <w:tab w:val="right" w:leader="dot" w:pos="8505"/>
        </w:tabs>
        <w:autoSpaceDE w:val="0"/>
        <w:autoSpaceDN w:val="0"/>
        <w:adjustRightInd w:val="0"/>
        <w:spacing w:line="360" w:lineRule="auto"/>
        <w:ind w:left="1134" w:hanging="1134"/>
        <w:rPr>
          <w:bCs/>
          <w:lang w:val="tr-TR" w:eastAsia="tr-TR"/>
        </w:rPr>
      </w:pPr>
      <w:r w:rsidRPr="00392ED6">
        <w:rPr>
          <w:bCs/>
          <w:lang w:val="tr-TR" w:eastAsia="tr-TR"/>
        </w:rPr>
        <w:t>Tablo4.</w:t>
      </w:r>
      <w:r w:rsidRPr="00392ED6">
        <w:rPr>
          <w:bCs/>
          <w:lang w:val="tr-TR" w:eastAsia="tr-TR"/>
        </w:rPr>
        <w:tab/>
        <w:t>Çalışmaya alınan hastaların demografik ve klinikopatolojik özellikleri</w:t>
      </w:r>
      <w:r w:rsidRPr="00392ED6">
        <w:rPr>
          <w:bCs/>
          <w:lang w:val="tr-TR" w:eastAsia="tr-TR"/>
        </w:rPr>
        <w:tab/>
        <w:t>...23-24</w:t>
      </w:r>
    </w:p>
    <w:p w:rsidR="00392ED6" w:rsidRPr="00392ED6" w:rsidRDefault="00392ED6" w:rsidP="00392ED6">
      <w:pPr>
        <w:spacing w:line="360" w:lineRule="auto"/>
        <w:ind w:left="1260" w:hanging="1260"/>
        <w:jc w:val="both"/>
        <w:rPr>
          <w:sz w:val="20"/>
          <w:szCs w:val="20"/>
          <w:lang w:val="tr-TR" w:eastAsia="tr-TR"/>
        </w:rPr>
      </w:pPr>
    </w:p>
    <w:p w:rsidR="00392ED6" w:rsidRPr="00392ED6" w:rsidRDefault="00392ED6" w:rsidP="00392ED6">
      <w:pPr>
        <w:spacing w:line="360" w:lineRule="auto"/>
        <w:ind w:left="1260" w:hanging="1260"/>
        <w:jc w:val="both"/>
        <w:rPr>
          <w:bCs/>
          <w:lang w:val="tr-TR" w:eastAsia="tr-TR"/>
        </w:rPr>
      </w:pPr>
      <w:r w:rsidRPr="00392ED6">
        <w:rPr>
          <w:lang w:val="tr-TR" w:eastAsia="tr-TR"/>
        </w:rPr>
        <w:t xml:space="preserve">Tablo5.      </w:t>
      </w:r>
      <w:r w:rsidRPr="00392ED6">
        <w:rPr>
          <w:bCs/>
          <w:lang w:val="tr-TR" w:eastAsia="tr-TR"/>
        </w:rPr>
        <w:t>Hastaların bazal ve 6 siklus tedavi sonrası serum tümör marker, VEGF, NO ve ANG II düzeyleri</w:t>
      </w:r>
      <w:proofErr w:type="gramStart"/>
      <w:r w:rsidRPr="00392ED6">
        <w:rPr>
          <w:bCs/>
          <w:lang w:val="tr-TR" w:eastAsia="tr-TR"/>
        </w:rPr>
        <w:t>……………………………………………………….…..</w:t>
      </w:r>
      <w:proofErr w:type="gramEnd"/>
      <w:r w:rsidRPr="00392ED6">
        <w:rPr>
          <w:bCs/>
          <w:lang w:val="tr-TR" w:eastAsia="tr-TR"/>
        </w:rPr>
        <w:t>25</w:t>
      </w:r>
    </w:p>
    <w:p w:rsidR="00392ED6" w:rsidRPr="00392ED6" w:rsidRDefault="00392ED6" w:rsidP="00392ED6">
      <w:pPr>
        <w:spacing w:line="360" w:lineRule="auto"/>
        <w:ind w:left="1260" w:hanging="1260"/>
        <w:jc w:val="both"/>
        <w:rPr>
          <w:bCs/>
          <w:lang w:val="tr-TR" w:eastAsia="tr-TR"/>
        </w:rPr>
      </w:pPr>
      <w:r w:rsidRPr="00392ED6">
        <w:rPr>
          <w:bCs/>
          <w:lang w:val="tr-TR" w:eastAsia="tr-TR"/>
        </w:rPr>
        <w:t>Tablo6.       Serum VEGF, NO ve ANG II düzeyleri arasındaki değişim düzeyleri</w:t>
      </w:r>
      <w:proofErr w:type="gramStart"/>
      <w:r w:rsidRPr="00392ED6">
        <w:rPr>
          <w:bCs/>
          <w:lang w:val="tr-TR" w:eastAsia="tr-TR"/>
        </w:rPr>
        <w:t>…......</w:t>
      </w:r>
      <w:proofErr w:type="gramEnd"/>
      <w:r w:rsidRPr="00392ED6">
        <w:rPr>
          <w:bCs/>
          <w:lang w:val="tr-TR" w:eastAsia="tr-TR"/>
        </w:rPr>
        <w:t>25</w:t>
      </w:r>
    </w:p>
    <w:p w:rsidR="00392ED6" w:rsidRPr="00392ED6" w:rsidRDefault="00392ED6" w:rsidP="00392ED6">
      <w:pPr>
        <w:spacing w:line="360" w:lineRule="auto"/>
        <w:ind w:left="1260" w:hanging="1260"/>
        <w:jc w:val="both"/>
        <w:rPr>
          <w:bCs/>
          <w:lang w:val="tr-TR" w:eastAsia="tr-TR"/>
        </w:rPr>
      </w:pPr>
      <w:r w:rsidRPr="00392ED6">
        <w:rPr>
          <w:bCs/>
          <w:lang w:val="tr-TR" w:eastAsia="tr-TR"/>
        </w:rPr>
        <w:t>Tablo7.      Tümör markerları ve VEGF, NO, ANG II değişim düzeyleri arasındaki ilişki.26</w:t>
      </w:r>
    </w:p>
    <w:p w:rsidR="00392ED6" w:rsidRPr="00392ED6" w:rsidRDefault="00392ED6" w:rsidP="00392ED6">
      <w:pPr>
        <w:spacing w:line="360" w:lineRule="auto"/>
        <w:ind w:left="1260" w:hanging="1260"/>
        <w:jc w:val="both"/>
        <w:rPr>
          <w:bCs/>
          <w:lang w:val="tr-TR" w:eastAsia="tr-TR"/>
        </w:rPr>
      </w:pPr>
      <w:r w:rsidRPr="00392ED6">
        <w:rPr>
          <w:bCs/>
          <w:lang w:val="tr-TR" w:eastAsia="tr-TR"/>
        </w:rPr>
        <w:t>Tablo8.      Kan basıncı durumuna göre progresyonsuz sağ kalım süreleri</w:t>
      </w:r>
      <w:proofErr w:type="gramStart"/>
      <w:r w:rsidRPr="00392ED6">
        <w:rPr>
          <w:bCs/>
          <w:lang w:val="tr-TR" w:eastAsia="tr-TR"/>
        </w:rPr>
        <w:t>................……</w:t>
      </w:r>
      <w:proofErr w:type="gramEnd"/>
      <w:r w:rsidRPr="00392ED6">
        <w:rPr>
          <w:bCs/>
          <w:lang w:val="tr-TR" w:eastAsia="tr-TR"/>
        </w:rPr>
        <w:t>33</w:t>
      </w:r>
    </w:p>
    <w:p w:rsidR="00392ED6" w:rsidRPr="00392ED6" w:rsidRDefault="00392ED6" w:rsidP="00392ED6">
      <w:pPr>
        <w:spacing w:line="360" w:lineRule="auto"/>
        <w:ind w:left="1260" w:hanging="1260"/>
        <w:jc w:val="both"/>
        <w:rPr>
          <w:bCs/>
          <w:lang w:val="tr-TR" w:eastAsia="tr-TR"/>
        </w:rPr>
      </w:pPr>
      <w:r w:rsidRPr="00392ED6">
        <w:rPr>
          <w:bCs/>
          <w:lang w:val="tr-TR" w:eastAsia="tr-TR"/>
        </w:rPr>
        <w:t>Tablo9.      Proteinüri  durumuna göre progresyonsuz sağ kalım süreleri</w:t>
      </w:r>
      <w:proofErr w:type="gramStart"/>
      <w:r w:rsidRPr="00392ED6">
        <w:rPr>
          <w:bCs/>
          <w:lang w:val="tr-TR" w:eastAsia="tr-TR"/>
        </w:rPr>
        <w:t>………………..</w:t>
      </w:r>
      <w:proofErr w:type="gramEnd"/>
      <w:r w:rsidRPr="00392ED6">
        <w:rPr>
          <w:bCs/>
          <w:lang w:val="tr-TR" w:eastAsia="tr-TR"/>
        </w:rPr>
        <w:t>34</w:t>
      </w:r>
    </w:p>
    <w:p w:rsidR="00392ED6" w:rsidRPr="00392ED6" w:rsidRDefault="00392ED6" w:rsidP="00392ED6">
      <w:pPr>
        <w:spacing w:line="360" w:lineRule="auto"/>
        <w:ind w:left="1260" w:hanging="1260"/>
        <w:jc w:val="both"/>
        <w:rPr>
          <w:lang w:val="tr-TR" w:eastAsia="tr-TR"/>
        </w:rPr>
      </w:pPr>
      <w:r w:rsidRPr="00392ED6">
        <w:rPr>
          <w:bCs/>
          <w:lang w:val="tr-TR" w:eastAsia="tr-TR"/>
        </w:rPr>
        <w:t>Tablo10.  VEGF, NO, ANG II değişim durumuna göre progresyonsuz sağ kalım süreleri</w:t>
      </w:r>
      <w:proofErr w:type="gramStart"/>
      <w:r w:rsidRPr="00392ED6">
        <w:rPr>
          <w:bCs/>
          <w:lang w:val="tr-TR" w:eastAsia="tr-TR"/>
        </w:rPr>
        <w:t>………………………………………………………………………</w:t>
      </w:r>
      <w:proofErr w:type="gramEnd"/>
      <w:r w:rsidRPr="00392ED6">
        <w:rPr>
          <w:bCs/>
          <w:lang w:val="tr-TR" w:eastAsia="tr-TR"/>
        </w:rPr>
        <w:t>35</w:t>
      </w:r>
    </w:p>
    <w:p w:rsidR="00392ED6" w:rsidRPr="00392ED6" w:rsidRDefault="00392ED6" w:rsidP="00392ED6">
      <w:pPr>
        <w:spacing w:line="360" w:lineRule="auto"/>
        <w:ind w:left="1260" w:hanging="1260"/>
        <w:jc w:val="both"/>
        <w:rPr>
          <w:b/>
          <w:lang w:val="tr-TR" w:eastAsia="tr-TR"/>
        </w:rPr>
      </w:pPr>
    </w:p>
    <w:p w:rsidR="00392ED6" w:rsidRPr="00392ED6" w:rsidRDefault="00392ED6" w:rsidP="00392ED6">
      <w:pPr>
        <w:autoSpaceDE w:val="0"/>
        <w:autoSpaceDN w:val="0"/>
        <w:adjustRightInd w:val="0"/>
        <w:spacing w:line="360" w:lineRule="auto"/>
        <w:rPr>
          <w:lang w:val="tr-TR" w:eastAsia="tr-TR"/>
        </w:rPr>
      </w:pPr>
    </w:p>
    <w:p w:rsidR="00392ED6" w:rsidRPr="00392ED6" w:rsidRDefault="00392ED6" w:rsidP="00392ED6">
      <w:pPr>
        <w:spacing w:line="480" w:lineRule="auto"/>
        <w:ind w:left="1260" w:hanging="1260"/>
        <w:jc w:val="both"/>
        <w:rPr>
          <w:lang w:val="tr-TR" w:eastAsia="tr-TR"/>
        </w:rPr>
      </w:pPr>
    </w:p>
    <w:p w:rsidR="00392ED6" w:rsidRPr="00392ED6" w:rsidRDefault="00392ED6" w:rsidP="00392ED6">
      <w:pPr>
        <w:rPr>
          <w:b/>
          <w:lang w:val="tr-TR" w:eastAsia="tr-TR"/>
        </w:rPr>
      </w:pPr>
    </w:p>
    <w:p w:rsidR="00392ED6" w:rsidRPr="00392ED6" w:rsidRDefault="00392ED6" w:rsidP="00392ED6">
      <w:pPr>
        <w:spacing w:line="360" w:lineRule="auto"/>
        <w:rPr>
          <w:sz w:val="28"/>
          <w:szCs w:val="28"/>
          <w:lang w:val="tr-TR" w:eastAsia="tr-TR"/>
        </w:rPr>
      </w:pPr>
    </w:p>
    <w:p w:rsidR="00392ED6" w:rsidRPr="00392ED6" w:rsidRDefault="00392ED6" w:rsidP="00392ED6">
      <w:pPr>
        <w:spacing w:line="360" w:lineRule="auto"/>
        <w:rPr>
          <w:sz w:val="28"/>
          <w:szCs w:val="28"/>
          <w:lang w:val="tr-TR" w:eastAsia="tr-TR"/>
        </w:rPr>
      </w:pPr>
    </w:p>
    <w:p w:rsidR="00392ED6" w:rsidRPr="00392ED6" w:rsidRDefault="00392ED6" w:rsidP="00392ED6">
      <w:pPr>
        <w:spacing w:line="360" w:lineRule="auto"/>
        <w:rPr>
          <w:sz w:val="28"/>
          <w:szCs w:val="28"/>
          <w:lang w:val="tr-TR" w:eastAsia="tr-TR"/>
        </w:rPr>
      </w:pPr>
    </w:p>
    <w:p w:rsidR="00392ED6" w:rsidRPr="00392ED6" w:rsidRDefault="00392ED6" w:rsidP="00392ED6">
      <w:pPr>
        <w:spacing w:line="360" w:lineRule="auto"/>
        <w:rPr>
          <w:sz w:val="28"/>
          <w:szCs w:val="28"/>
          <w:lang w:val="tr-TR" w:eastAsia="tr-TR"/>
        </w:rPr>
      </w:pPr>
    </w:p>
    <w:p w:rsidR="00392ED6" w:rsidRPr="00392ED6" w:rsidRDefault="00392ED6" w:rsidP="00392ED6">
      <w:pPr>
        <w:spacing w:line="360" w:lineRule="auto"/>
        <w:rPr>
          <w:sz w:val="28"/>
          <w:szCs w:val="28"/>
          <w:lang w:val="tr-TR" w:eastAsia="tr-TR"/>
        </w:rPr>
      </w:pPr>
    </w:p>
    <w:p w:rsidR="00392ED6" w:rsidRPr="00392ED6" w:rsidRDefault="00392ED6" w:rsidP="00392ED6">
      <w:pPr>
        <w:spacing w:line="360" w:lineRule="auto"/>
        <w:rPr>
          <w:sz w:val="28"/>
          <w:szCs w:val="28"/>
          <w:lang w:val="tr-TR" w:eastAsia="tr-TR"/>
        </w:rPr>
      </w:pPr>
    </w:p>
    <w:p w:rsidR="00392ED6" w:rsidRPr="00392ED6" w:rsidRDefault="00392ED6" w:rsidP="00392ED6">
      <w:pPr>
        <w:spacing w:line="360" w:lineRule="auto"/>
        <w:rPr>
          <w:sz w:val="28"/>
          <w:szCs w:val="28"/>
          <w:lang w:val="tr-TR" w:eastAsia="tr-TR"/>
        </w:rPr>
      </w:pPr>
    </w:p>
    <w:p w:rsidR="00392ED6" w:rsidRPr="00392ED6" w:rsidRDefault="00392ED6" w:rsidP="00392ED6">
      <w:pPr>
        <w:spacing w:line="480" w:lineRule="auto"/>
        <w:rPr>
          <w:sz w:val="28"/>
          <w:szCs w:val="28"/>
          <w:lang w:val="tr-TR" w:eastAsia="tr-TR"/>
        </w:rPr>
      </w:pPr>
    </w:p>
    <w:p w:rsidR="00392ED6" w:rsidRPr="00392ED6" w:rsidRDefault="00392ED6" w:rsidP="00392ED6">
      <w:pPr>
        <w:spacing w:line="360" w:lineRule="auto"/>
        <w:rPr>
          <w:sz w:val="28"/>
          <w:szCs w:val="28"/>
          <w:lang w:val="tr-TR" w:eastAsia="tr-TR"/>
        </w:rPr>
      </w:pPr>
    </w:p>
    <w:p w:rsidR="00392ED6" w:rsidRPr="00392ED6" w:rsidRDefault="00392ED6" w:rsidP="00392ED6">
      <w:pPr>
        <w:spacing w:line="360" w:lineRule="auto"/>
        <w:rPr>
          <w:sz w:val="28"/>
          <w:szCs w:val="28"/>
          <w:lang w:val="tr-TR" w:eastAsia="tr-TR"/>
        </w:rPr>
      </w:pPr>
    </w:p>
    <w:p w:rsidR="00392ED6" w:rsidRPr="00392ED6" w:rsidRDefault="00392ED6" w:rsidP="00392ED6">
      <w:pPr>
        <w:spacing w:before="240" w:after="60"/>
        <w:jc w:val="center"/>
        <w:outlineLvl w:val="0"/>
        <w:rPr>
          <w:b/>
          <w:bCs/>
          <w:kern w:val="28"/>
          <w:sz w:val="28"/>
          <w:szCs w:val="28"/>
          <w:lang w:val="tr-TR" w:eastAsia="tr-TR"/>
        </w:rPr>
      </w:pPr>
      <w:r w:rsidRPr="00392ED6">
        <w:rPr>
          <w:b/>
          <w:bCs/>
          <w:kern w:val="28"/>
          <w:sz w:val="28"/>
          <w:szCs w:val="28"/>
          <w:lang w:val="tr-TR" w:eastAsia="tr-TR"/>
        </w:rPr>
        <w:br w:type="page"/>
      </w:r>
      <w:r w:rsidRPr="00392ED6">
        <w:rPr>
          <w:b/>
          <w:bCs/>
          <w:kern w:val="28"/>
          <w:sz w:val="28"/>
          <w:szCs w:val="28"/>
          <w:lang w:val="tr-TR" w:eastAsia="tr-TR"/>
        </w:rPr>
        <w:lastRenderedPageBreak/>
        <w:t>KISALTMALAR LİSTESİ</w:t>
      </w:r>
    </w:p>
    <w:p w:rsidR="00392ED6" w:rsidRPr="00392ED6" w:rsidRDefault="00392ED6" w:rsidP="00392ED6">
      <w:pPr>
        <w:spacing w:line="360" w:lineRule="auto"/>
        <w:outlineLvl w:val="0"/>
        <w:rPr>
          <w:b/>
          <w:sz w:val="28"/>
          <w:szCs w:val="28"/>
          <w:lang w:val="tr-TR" w:eastAsia="tr-TR"/>
        </w:rPr>
      </w:pPr>
    </w:p>
    <w:p w:rsidR="00392ED6" w:rsidRPr="00392ED6" w:rsidRDefault="00392ED6" w:rsidP="00392ED6">
      <w:pPr>
        <w:spacing w:line="360" w:lineRule="auto"/>
        <w:outlineLvl w:val="0"/>
        <w:rPr>
          <w:lang w:val="tr-TR" w:eastAsia="tr-TR"/>
        </w:rPr>
      </w:pPr>
      <w:r w:rsidRPr="00392ED6">
        <w:rPr>
          <w:lang w:val="tr-TR" w:eastAsia="tr-TR"/>
        </w:rPr>
        <w:t>VEGF:</w:t>
      </w:r>
      <w:r w:rsidRPr="00392ED6">
        <w:rPr>
          <w:lang w:val="tr-TR" w:eastAsia="tr-TR"/>
        </w:rPr>
        <w:tab/>
      </w:r>
      <w:r w:rsidRPr="00392ED6">
        <w:rPr>
          <w:lang w:val="tr-TR" w:eastAsia="tr-TR"/>
        </w:rPr>
        <w:tab/>
      </w:r>
      <w:r w:rsidRPr="00392ED6">
        <w:rPr>
          <w:lang w:val="tr-TR" w:eastAsia="tr-TR"/>
        </w:rPr>
        <w:tab/>
        <w:t>Vasküler Endotelyal Büyüme Faktörü</w:t>
      </w:r>
    </w:p>
    <w:p w:rsidR="00392ED6" w:rsidRPr="00392ED6" w:rsidRDefault="00392ED6" w:rsidP="00392ED6">
      <w:pPr>
        <w:spacing w:line="360" w:lineRule="auto"/>
        <w:outlineLvl w:val="0"/>
        <w:rPr>
          <w:lang w:val="tr-TR" w:eastAsia="tr-TR"/>
        </w:rPr>
      </w:pPr>
      <w:r w:rsidRPr="00392ED6">
        <w:rPr>
          <w:lang w:val="tr-TR" w:eastAsia="tr-TR"/>
        </w:rPr>
        <w:t xml:space="preserve">CTCAE:                      Common Terminology Criteria for Adverse Events </w:t>
      </w:r>
    </w:p>
    <w:p w:rsidR="00392ED6" w:rsidRPr="00392ED6" w:rsidRDefault="00392ED6" w:rsidP="00392ED6">
      <w:pPr>
        <w:spacing w:line="360" w:lineRule="auto"/>
        <w:outlineLvl w:val="0"/>
        <w:rPr>
          <w:lang w:val="tr-TR" w:eastAsia="tr-TR"/>
        </w:rPr>
      </w:pPr>
      <w:r w:rsidRPr="00392ED6">
        <w:rPr>
          <w:lang w:val="tr-TR" w:eastAsia="tr-TR"/>
        </w:rPr>
        <w:t>NO:</w:t>
      </w:r>
      <w:r w:rsidRPr="00392ED6">
        <w:rPr>
          <w:lang w:val="tr-TR" w:eastAsia="tr-TR"/>
        </w:rPr>
        <w:tab/>
      </w:r>
      <w:r w:rsidRPr="00392ED6">
        <w:rPr>
          <w:lang w:val="tr-TR" w:eastAsia="tr-TR"/>
        </w:rPr>
        <w:tab/>
      </w:r>
      <w:r w:rsidRPr="00392ED6">
        <w:rPr>
          <w:lang w:val="tr-TR" w:eastAsia="tr-TR"/>
        </w:rPr>
        <w:tab/>
        <w:t>Nitrik Oksit</w:t>
      </w:r>
    </w:p>
    <w:p w:rsidR="00392ED6" w:rsidRPr="00392ED6" w:rsidRDefault="00392ED6" w:rsidP="00392ED6">
      <w:pPr>
        <w:spacing w:line="360" w:lineRule="auto"/>
        <w:outlineLvl w:val="0"/>
        <w:rPr>
          <w:lang w:val="tr-TR" w:eastAsia="tr-TR"/>
        </w:rPr>
      </w:pPr>
      <w:r w:rsidRPr="00392ED6">
        <w:rPr>
          <w:lang w:val="tr-TR" w:eastAsia="tr-TR"/>
        </w:rPr>
        <w:t>Ang II:                        An</w:t>
      </w:r>
      <w:r w:rsidR="00E36B30">
        <w:rPr>
          <w:lang w:val="tr-TR" w:eastAsia="tr-TR"/>
        </w:rPr>
        <w:t>j</w:t>
      </w:r>
      <w:r w:rsidRPr="00392ED6">
        <w:rPr>
          <w:lang w:val="tr-TR" w:eastAsia="tr-TR"/>
        </w:rPr>
        <w:t>i</w:t>
      </w:r>
      <w:r w:rsidR="00E36B30">
        <w:rPr>
          <w:lang w:val="tr-TR" w:eastAsia="tr-TR"/>
        </w:rPr>
        <w:t>y</w:t>
      </w:r>
      <w:r w:rsidRPr="00392ED6">
        <w:rPr>
          <w:lang w:val="tr-TR" w:eastAsia="tr-TR"/>
        </w:rPr>
        <w:t xml:space="preserve">otensin </w:t>
      </w:r>
      <w:r w:rsidR="00E36B30">
        <w:rPr>
          <w:lang w:val="tr-TR" w:eastAsia="tr-TR"/>
        </w:rPr>
        <w:t>II</w:t>
      </w:r>
    </w:p>
    <w:p w:rsidR="00392ED6" w:rsidRPr="00392ED6" w:rsidRDefault="00392ED6" w:rsidP="00392ED6">
      <w:pPr>
        <w:spacing w:line="360" w:lineRule="auto"/>
        <w:outlineLvl w:val="0"/>
        <w:rPr>
          <w:lang w:val="tr-TR" w:eastAsia="tr-TR"/>
        </w:rPr>
      </w:pPr>
      <w:r w:rsidRPr="00392ED6">
        <w:rPr>
          <w:lang w:val="tr-TR" w:eastAsia="tr-TR"/>
        </w:rPr>
        <w:t xml:space="preserve">CEA:                          Karsinoembriyonik antijen </w:t>
      </w:r>
    </w:p>
    <w:p w:rsidR="00392ED6" w:rsidRPr="00392ED6" w:rsidRDefault="00392ED6" w:rsidP="00392ED6">
      <w:pPr>
        <w:spacing w:line="360" w:lineRule="auto"/>
        <w:outlineLvl w:val="0"/>
        <w:rPr>
          <w:bCs/>
          <w:lang w:val="tr-TR" w:eastAsia="tr-TR"/>
        </w:rPr>
      </w:pPr>
      <w:proofErr w:type="gramStart"/>
      <w:r w:rsidRPr="00392ED6">
        <w:rPr>
          <w:bCs/>
          <w:lang w:val="tr-TR" w:eastAsia="tr-TR"/>
        </w:rPr>
        <w:t>EDRF :                       Endotel</w:t>
      </w:r>
      <w:proofErr w:type="gramEnd"/>
      <w:r w:rsidRPr="00392ED6">
        <w:rPr>
          <w:bCs/>
          <w:lang w:val="tr-TR" w:eastAsia="tr-TR"/>
        </w:rPr>
        <w:t xml:space="preserve"> kaynaklı gevşetici faktör</w:t>
      </w:r>
    </w:p>
    <w:p w:rsidR="00392ED6" w:rsidRPr="00392ED6" w:rsidRDefault="00392ED6" w:rsidP="00392ED6">
      <w:pPr>
        <w:spacing w:line="360" w:lineRule="auto"/>
        <w:outlineLvl w:val="0"/>
        <w:rPr>
          <w:lang w:val="tr-TR" w:eastAsia="tr-TR"/>
        </w:rPr>
      </w:pPr>
      <w:r w:rsidRPr="00392ED6">
        <w:rPr>
          <w:bCs/>
          <w:lang w:val="tr-TR" w:eastAsia="tr-TR"/>
        </w:rPr>
        <w:t>RAS:                           Renin An</w:t>
      </w:r>
      <w:r w:rsidR="00E36B30">
        <w:rPr>
          <w:bCs/>
          <w:lang w:val="tr-TR" w:eastAsia="tr-TR"/>
        </w:rPr>
        <w:t>j</w:t>
      </w:r>
      <w:r w:rsidRPr="00392ED6">
        <w:rPr>
          <w:bCs/>
          <w:lang w:val="tr-TR" w:eastAsia="tr-TR"/>
        </w:rPr>
        <w:t>i</w:t>
      </w:r>
      <w:r w:rsidR="00E36B30">
        <w:rPr>
          <w:bCs/>
          <w:lang w:val="tr-TR" w:eastAsia="tr-TR"/>
        </w:rPr>
        <w:t>y</w:t>
      </w:r>
      <w:r w:rsidRPr="00392ED6">
        <w:rPr>
          <w:bCs/>
          <w:lang w:val="tr-TR" w:eastAsia="tr-TR"/>
        </w:rPr>
        <w:t>otensin Aldosteron Sistemi</w:t>
      </w:r>
    </w:p>
    <w:p w:rsidR="00392ED6" w:rsidRPr="00392ED6" w:rsidRDefault="00392ED6" w:rsidP="00392ED6">
      <w:pPr>
        <w:spacing w:line="360" w:lineRule="auto"/>
        <w:outlineLvl w:val="0"/>
        <w:rPr>
          <w:lang w:val="tr-TR" w:eastAsia="tr-TR"/>
        </w:rPr>
      </w:pPr>
      <w:r w:rsidRPr="00392ED6">
        <w:rPr>
          <w:lang w:val="tr-TR" w:eastAsia="tr-TR"/>
        </w:rPr>
        <w:t>ACE:                          Angiotensin Dönüştürücü Enzim</w:t>
      </w:r>
    </w:p>
    <w:p w:rsidR="00392ED6" w:rsidRPr="00392ED6" w:rsidRDefault="00392ED6" w:rsidP="00392ED6">
      <w:pPr>
        <w:spacing w:line="360" w:lineRule="auto"/>
        <w:outlineLvl w:val="0"/>
        <w:rPr>
          <w:lang w:val="tr-TR" w:eastAsia="tr-TR"/>
        </w:rPr>
      </w:pPr>
      <w:r w:rsidRPr="00392ED6">
        <w:rPr>
          <w:lang w:val="tr-TR" w:eastAsia="tr-TR"/>
        </w:rPr>
        <w:t>PET CT:                      Pozitron Emisyon Bilgisayarlı Tomografisi</w:t>
      </w:r>
    </w:p>
    <w:p w:rsidR="00392ED6" w:rsidRPr="00392ED6" w:rsidRDefault="00392ED6" w:rsidP="00392ED6">
      <w:pPr>
        <w:spacing w:line="360" w:lineRule="auto"/>
        <w:outlineLvl w:val="0"/>
        <w:rPr>
          <w:lang w:val="tr-TR" w:eastAsia="tr-TR"/>
        </w:rPr>
      </w:pPr>
      <w:r w:rsidRPr="00392ED6">
        <w:rPr>
          <w:lang w:val="tr-TR" w:eastAsia="tr-TR"/>
        </w:rPr>
        <w:t>MRG:                          Manyetik Rezonans Görüntüleme</w:t>
      </w:r>
    </w:p>
    <w:p w:rsidR="00392ED6" w:rsidRPr="00392ED6" w:rsidRDefault="00392ED6" w:rsidP="00392ED6">
      <w:pPr>
        <w:spacing w:line="360" w:lineRule="auto"/>
        <w:outlineLvl w:val="0"/>
        <w:rPr>
          <w:lang w:val="tr-TR" w:eastAsia="tr-TR"/>
        </w:rPr>
      </w:pPr>
      <w:r w:rsidRPr="00392ED6">
        <w:rPr>
          <w:lang w:val="tr-TR" w:eastAsia="tr-TR"/>
        </w:rPr>
        <w:t>JNC:                             Joint of National Commitee</w:t>
      </w:r>
    </w:p>
    <w:p w:rsidR="00392ED6" w:rsidRPr="00392ED6" w:rsidRDefault="00392ED6" w:rsidP="00392ED6">
      <w:pPr>
        <w:spacing w:line="360" w:lineRule="auto"/>
        <w:outlineLvl w:val="0"/>
        <w:rPr>
          <w:lang w:val="tr-TR" w:eastAsia="tr-TR"/>
        </w:rPr>
      </w:pPr>
    </w:p>
    <w:p w:rsidR="00392ED6" w:rsidRPr="00392ED6" w:rsidRDefault="00392ED6" w:rsidP="00392ED6">
      <w:pPr>
        <w:spacing w:line="360" w:lineRule="auto"/>
        <w:outlineLvl w:val="0"/>
        <w:rPr>
          <w:lang w:val="tr-TR" w:eastAsia="tr-TR"/>
        </w:rPr>
      </w:pPr>
    </w:p>
    <w:p w:rsidR="00392ED6" w:rsidRPr="00392ED6" w:rsidRDefault="00392ED6" w:rsidP="00392ED6">
      <w:pPr>
        <w:spacing w:line="360" w:lineRule="auto"/>
        <w:outlineLvl w:val="0"/>
        <w:rPr>
          <w:lang w:val="tr-TR" w:eastAsia="tr-TR"/>
        </w:rPr>
      </w:pPr>
    </w:p>
    <w:p w:rsidR="00392ED6" w:rsidRP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Default="00392ED6" w:rsidP="00392ED6">
      <w:pPr>
        <w:spacing w:line="360" w:lineRule="auto"/>
        <w:outlineLvl w:val="0"/>
        <w:rPr>
          <w:lang w:val="tr-TR" w:eastAsia="tr-TR"/>
        </w:rPr>
      </w:pPr>
    </w:p>
    <w:p w:rsidR="00392ED6" w:rsidRPr="00392ED6" w:rsidRDefault="00392ED6" w:rsidP="00392ED6">
      <w:pPr>
        <w:spacing w:line="360" w:lineRule="auto"/>
        <w:outlineLvl w:val="0"/>
        <w:rPr>
          <w:lang w:val="tr-TR" w:eastAsia="tr-TR"/>
        </w:rPr>
      </w:pPr>
    </w:p>
    <w:p w:rsidR="00392ED6" w:rsidRPr="00392ED6" w:rsidRDefault="00392ED6" w:rsidP="00392ED6">
      <w:pPr>
        <w:spacing w:line="360" w:lineRule="auto"/>
        <w:rPr>
          <w:b/>
          <w:sz w:val="28"/>
          <w:szCs w:val="28"/>
          <w:lang w:val="tr-TR" w:eastAsia="tr-TR"/>
        </w:rPr>
      </w:pPr>
    </w:p>
    <w:p w:rsidR="00392ED6" w:rsidRPr="00392ED6" w:rsidRDefault="00392ED6" w:rsidP="00392ED6">
      <w:pPr>
        <w:spacing w:before="240" w:after="60" w:line="276" w:lineRule="auto"/>
        <w:jc w:val="both"/>
        <w:outlineLvl w:val="0"/>
        <w:rPr>
          <w:b/>
          <w:bCs/>
          <w:kern w:val="28"/>
          <w:sz w:val="28"/>
          <w:szCs w:val="28"/>
        </w:rPr>
      </w:pPr>
      <w:r w:rsidRPr="00392ED6">
        <w:rPr>
          <w:b/>
          <w:kern w:val="28"/>
          <w:sz w:val="28"/>
          <w:szCs w:val="28"/>
          <w:lang w:val="tr-TR"/>
        </w:rPr>
        <w:lastRenderedPageBreak/>
        <w:t>1.</w:t>
      </w:r>
      <w:r w:rsidRPr="00392ED6">
        <w:rPr>
          <w:b/>
          <w:bCs/>
          <w:kern w:val="28"/>
          <w:sz w:val="28"/>
          <w:szCs w:val="28"/>
        </w:rPr>
        <w:t>GİRİŞ VE AMAÇ</w:t>
      </w:r>
    </w:p>
    <w:p w:rsidR="00392ED6" w:rsidRPr="00392ED6" w:rsidRDefault="00392ED6" w:rsidP="00392ED6">
      <w:pPr>
        <w:spacing w:after="200" w:line="276" w:lineRule="auto"/>
        <w:jc w:val="both"/>
        <w:rPr>
          <w:rFonts w:ascii="Calibri" w:eastAsia="Calibri" w:hAnsi="Calibri" w:cs="Calibri"/>
          <w:sz w:val="22"/>
          <w:szCs w:val="22"/>
        </w:rPr>
      </w:pP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 xml:space="preserve">Kolorektal kanserler dünya genelinde en çok görülen üçüncü sıradaki kanserler olup akciğer kanserinden sonra en sık ölüm sebebidir (1). Tüm kanser ölümlerinin %10’unu oluşturur. Son 20 yılda kanser tarama programları, tanısal yöntemlerdeki moleküler onkolojide gelişmeler, daha etkin sitostatik </w:t>
      </w:r>
      <w:proofErr w:type="gramStart"/>
      <w:r w:rsidRPr="00392ED6">
        <w:rPr>
          <w:rFonts w:eastAsia="Calibri"/>
          <w:lang w:val="tr-TR"/>
        </w:rPr>
        <w:t>kemoterapiler</w:t>
      </w:r>
      <w:proofErr w:type="gramEnd"/>
      <w:r w:rsidRPr="00392ED6">
        <w:rPr>
          <w:rFonts w:eastAsia="Calibri"/>
          <w:lang w:val="tr-TR"/>
        </w:rPr>
        <w:t xml:space="preserve"> ve hedefe yönelik tedavilerin ortaya çıkmasıyla kolorektal kansere bağlı ölümler belirgin olarak azalmıştır. Hastaların yaklaşık %20 ile %50’ si hekime metastatik evrede başvurur.  2000’li yılların başlarında ileri </w:t>
      </w:r>
      <w:proofErr w:type="gramStart"/>
      <w:r w:rsidRPr="00392ED6">
        <w:rPr>
          <w:rFonts w:eastAsia="Calibri"/>
          <w:lang w:val="tr-TR"/>
        </w:rPr>
        <w:t>evre  kolorektal</w:t>
      </w:r>
      <w:proofErr w:type="gramEnd"/>
      <w:r w:rsidRPr="00392ED6">
        <w:rPr>
          <w:rFonts w:eastAsia="Calibri"/>
          <w:lang w:val="tr-TR"/>
        </w:rPr>
        <w:t xml:space="preserve"> kanserde ortanca sağkalım 10-12 aylar civarında iken son zamanlarda hedefe yönelik tedavilere bağlı olarak 28-30 ay civarına uzamıştır. </w:t>
      </w:r>
    </w:p>
    <w:p w:rsidR="00392ED6" w:rsidRPr="00392ED6" w:rsidRDefault="00392ED6" w:rsidP="00392ED6">
      <w:pPr>
        <w:spacing w:after="200" w:line="360" w:lineRule="auto"/>
        <w:ind w:firstLine="708"/>
        <w:jc w:val="both"/>
        <w:rPr>
          <w:rFonts w:eastAsia="Calibri"/>
          <w:color w:val="FF0000"/>
          <w:lang w:val="tr-TR" w:eastAsia="tr-TR"/>
        </w:rPr>
      </w:pPr>
      <w:r w:rsidRPr="00392ED6">
        <w:rPr>
          <w:rFonts w:eastAsia="Calibri"/>
          <w:lang w:val="tr-TR" w:eastAsia="tr-TR"/>
        </w:rPr>
        <w:t xml:space="preserve">Bu tedavilerden birisi olan bevacizumab vasküler endotelyal büyüme faktörüne (VEGF) karşı yüksek bağlanma spesifitesi olan rekombinant humanize monoklonal antikordur. Bevacizumab VEGF’nin tüm önemli izoformlarını tanır ve inhibe eder. VEGF’nin </w:t>
      </w:r>
      <w:proofErr w:type="gramStart"/>
      <w:r w:rsidRPr="00392ED6">
        <w:rPr>
          <w:rFonts w:eastAsia="Calibri"/>
          <w:lang w:val="tr-TR" w:eastAsia="tr-TR"/>
        </w:rPr>
        <w:t>inhibisyonu  endotelyal</w:t>
      </w:r>
      <w:proofErr w:type="gramEnd"/>
      <w:r w:rsidRPr="00392ED6">
        <w:rPr>
          <w:rFonts w:eastAsia="Calibri"/>
          <w:lang w:val="tr-TR" w:eastAsia="tr-TR"/>
        </w:rPr>
        <w:t xml:space="preserve"> hücreleri ve tümör damarlanmasını çeşitli yollarla etkiler. Endotelyal hücreler VEGF yokluğunda büyüyemez böylece yeni damar oluşumu inhibe olur ayrıca mevcut damarlarda da gerileme gözlenir (2).</w:t>
      </w:r>
      <w:r w:rsidRPr="00392ED6">
        <w:rPr>
          <w:rFonts w:eastAsia="Calibri"/>
          <w:color w:val="000000"/>
          <w:lang w:val="tr-TR" w:eastAsia="tr-TR"/>
        </w:rPr>
        <w:t xml:space="preserve"> Ancak her güzelin bir kusuru olduğu gibi bevacizumabın </w:t>
      </w:r>
      <w:proofErr w:type="gramStart"/>
      <w:r w:rsidRPr="00392ED6">
        <w:rPr>
          <w:rFonts w:eastAsia="Calibri"/>
          <w:color w:val="000000"/>
          <w:lang w:val="tr-TR" w:eastAsia="tr-TR"/>
        </w:rPr>
        <w:t>da  bu</w:t>
      </w:r>
      <w:proofErr w:type="gramEnd"/>
      <w:r w:rsidRPr="00392ED6">
        <w:rPr>
          <w:rFonts w:eastAsia="Calibri"/>
          <w:color w:val="000000"/>
          <w:lang w:val="tr-TR" w:eastAsia="tr-TR"/>
        </w:rPr>
        <w:t xml:space="preserve"> etkinliği sağlarken  önlem alınmadığı takdirde başta hipertansiyon (HT) olmak üzere bir çok yan etkiye  neden olarak hastanın ölümüyle sonuçlanabilen klinik tablolara yol açabildiği gözlemlenmiştir</w:t>
      </w:r>
      <w:r w:rsidRPr="00392ED6">
        <w:rPr>
          <w:rFonts w:eastAsia="Calibri"/>
          <w:color w:val="FF0000"/>
          <w:lang w:val="tr-TR" w:eastAsia="tr-TR"/>
        </w:rPr>
        <w:t>.</w:t>
      </w:r>
    </w:p>
    <w:p w:rsidR="00392ED6" w:rsidRPr="00392ED6" w:rsidRDefault="00392ED6" w:rsidP="00392ED6">
      <w:pPr>
        <w:spacing w:after="200" w:line="360" w:lineRule="auto"/>
        <w:ind w:firstLine="708"/>
        <w:jc w:val="both"/>
        <w:rPr>
          <w:rFonts w:eastAsia="Calibri"/>
          <w:lang w:val="tr-TR" w:eastAsia="tr-TR"/>
        </w:rPr>
      </w:pPr>
      <w:r w:rsidRPr="00392ED6">
        <w:rPr>
          <w:rFonts w:eastAsia="Calibri"/>
          <w:lang w:val="tr-TR"/>
        </w:rPr>
        <w:t xml:space="preserve">Bu yan etkilerden birisi olan hipertansiyon, </w:t>
      </w:r>
      <w:r w:rsidRPr="00392ED6">
        <w:rPr>
          <w:rFonts w:eastAsia="Calibri"/>
          <w:lang w:val="tr-TR" w:eastAsia="tr-TR"/>
        </w:rPr>
        <w:t xml:space="preserve"> bevacizumabın doz bağımlı sık görülen bir yan etkisidir.  JNC 7 hipertansiyon sınıflaması ve ‘Common Terminology Criteria for Adverse Events (CTCAE) </w:t>
      </w:r>
      <w:proofErr w:type="gramStart"/>
      <w:r w:rsidRPr="00392ED6">
        <w:rPr>
          <w:rFonts w:eastAsia="Calibri"/>
          <w:lang w:val="tr-TR" w:eastAsia="tr-TR"/>
        </w:rPr>
        <w:t>kriterlerine</w:t>
      </w:r>
      <w:proofErr w:type="gramEnd"/>
      <w:r w:rsidRPr="00392ED6">
        <w:rPr>
          <w:rFonts w:eastAsia="Calibri"/>
          <w:lang w:val="tr-TR" w:eastAsia="tr-TR"/>
        </w:rPr>
        <w:t xml:space="preserve"> göre sınıflandırılır </w:t>
      </w:r>
      <w:r w:rsidRPr="00392ED6">
        <w:rPr>
          <w:rFonts w:eastAsia="Calibri"/>
          <w:b/>
          <w:lang w:val="tr-TR" w:eastAsia="tr-TR"/>
        </w:rPr>
        <w:t>(Tablo.1-2)</w:t>
      </w:r>
      <w:r w:rsidRPr="00392ED6">
        <w:rPr>
          <w:rFonts w:eastAsia="Calibri"/>
          <w:lang w:val="tr-TR" w:eastAsia="tr-TR"/>
        </w:rPr>
        <w:t xml:space="preserve">. Meta-analizlerde bevacizumab kullanımının tüm kanserlerde hipertansiyonun tüm evrelerinin görülme sıklığında belirgin artışla ilişkili olduğu gösterilmiştir (3). Kullanılan doza ve süreye bağlı olmakla birlikte %30 civarında gözlemlenir ve grade 3 ve üzeri HT görülme oranı %8-10 civarındadır. </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eastAsia="tr-TR"/>
        </w:rPr>
        <w:t xml:space="preserve">Biz de bu durumu göz önüne </w:t>
      </w:r>
      <w:proofErr w:type="gramStart"/>
      <w:r w:rsidRPr="00392ED6">
        <w:rPr>
          <w:rFonts w:eastAsia="Calibri"/>
          <w:lang w:val="tr-TR"/>
        </w:rPr>
        <w:t>alarak  bevacizumab</w:t>
      </w:r>
      <w:proofErr w:type="gramEnd"/>
      <w:r w:rsidRPr="00392ED6">
        <w:rPr>
          <w:rFonts w:eastAsia="Calibri"/>
          <w:lang w:val="tr-TR"/>
        </w:rPr>
        <w:t xml:space="preserve"> tedavisinin metastatik kolorektal kanserli hastalarda tedavi öncesi ve tedavinin 3. ayında serum VEGF,  Nitrik Oksit (NO) ve Angiotensin II (Ang II) düzeyleri üzerindeki etkisine ayrıca bu durumun hipertansiyon gelişimiyle arasındaki ilişkisine ve tümör yanıtıyla olan ilişkisini araştırmayı planladık. Bu sebeple Başkent Üniversitesi Adana Uygulama ve Araştırma Merkezinde tanı ve takipleri </w:t>
      </w:r>
      <w:r w:rsidRPr="00392ED6">
        <w:rPr>
          <w:rFonts w:eastAsia="Calibri"/>
          <w:lang w:val="tr-TR"/>
        </w:rPr>
        <w:lastRenderedPageBreak/>
        <w:t xml:space="preserve">yapılan 24 metastatik kolorektal kanser tanısı almış hasta bilgilendirilmiş onam formları alındıktan sonra bu projeye </w:t>
      </w:r>
      <w:proofErr w:type="gramStart"/>
      <w:r w:rsidRPr="00392ED6">
        <w:rPr>
          <w:rFonts w:eastAsia="Calibri"/>
          <w:lang w:val="tr-TR"/>
        </w:rPr>
        <w:t>dahil</w:t>
      </w:r>
      <w:proofErr w:type="gramEnd"/>
      <w:r w:rsidRPr="00392ED6">
        <w:rPr>
          <w:rFonts w:eastAsia="Calibri"/>
          <w:lang w:val="tr-TR"/>
        </w:rPr>
        <w:t xml:space="preserve"> edildi.</w:t>
      </w:r>
    </w:p>
    <w:p w:rsidR="00392ED6" w:rsidRPr="00392ED6" w:rsidRDefault="00392ED6" w:rsidP="00392ED6">
      <w:pPr>
        <w:spacing w:after="200" w:line="360" w:lineRule="auto"/>
        <w:ind w:firstLine="708"/>
        <w:jc w:val="both"/>
        <w:rPr>
          <w:rFonts w:eastAsia="Calibri"/>
          <w:lang w:val="tr-TR"/>
        </w:rPr>
      </w:pPr>
    </w:p>
    <w:p w:rsidR="00392ED6" w:rsidRPr="00392ED6" w:rsidRDefault="00392ED6" w:rsidP="00392ED6">
      <w:pPr>
        <w:keepNext/>
        <w:keepLines/>
        <w:spacing w:before="480" w:line="276" w:lineRule="auto"/>
        <w:jc w:val="both"/>
        <w:outlineLvl w:val="0"/>
        <w:rPr>
          <w:rFonts w:eastAsia="Calibri"/>
          <w:b/>
          <w:bCs/>
          <w:sz w:val="28"/>
          <w:szCs w:val="28"/>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keepNext/>
        <w:keepLines/>
        <w:spacing w:before="480" w:line="276" w:lineRule="auto"/>
        <w:jc w:val="both"/>
        <w:outlineLvl w:val="0"/>
        <w:rPr>
          <w:rFonts w:eastAsia="Calibri"/>
          <w:b/>
          <w:bCs/>
          <w:sz w:val="28"/>
          <w:szCs w:val="28"/>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spacing w:after="200" w:line="276" w:lineRule="auto"/>
        <w:rPr>
          <w:rFonts w:ascii="Calibri" w:eastAsia="Calibri" w:hAnsi="Calibri" w:cs="Calibri"/>
          <w:sz w:val="22"/>
          <w:szCs w:val="22"/>
          <w:lang w:val="tr-TR" w:eastAsia="tr-TR"/>
        </w:rPr>
      </w:pPr>
    </w:p>
    <w:p w:rsidR="00392ED6" w:rsidRPr="00392ED6" w:rsidRDefault="00392ED6" w:rsidP="00392ED6">
      <w:pPr>
        <w:keepNext/>
        <w:keepLines/>
        <w:spacing w:before="480" w:line="276" w:lineRule="auto"/>
        <w:jc w:val="both"/>
        <w:outlineLvl w:val="0"/>
        <w:rPr>
          <w:rFonts w:eastAsia="Calibri"/>
          <w:sz w:val="28"/>
          <w:szCs w:val="28"/>
          <w:lang w:val="tr-TR" w:eastAsia="tr-TR"/>
        </w:rPr>
      </w:pPr>
      <w:r w:rsidRPr="00392ED6">
        <w:rPr>
          <w:rFonts w:eastAsia="Calibri"/>
          <w:b/>
          <w:bCs/>
          <w:sz w:val="28"/>
          <w:szCs w:val="28"/>
          <w:lang w:val="tr-TR" w:eastAsia="tr-TR"/>
        </w:rPr>
        <w:lastRenderedPageBreak/>
        <w:t>2. GENEL BİLGİLER</w:t>
      </w:r>
    </w:p>
    <w:p w:rsidR="00392ED6" w:rsidRPr="00392ED6" w:rsidRDefault="00392ED6" w:rsidP="00392ED6">
      <w:pPr>
        <w:spacing w:line="360" w:lineRule="auto"/>
        <w:jc w:val="both"/>
        <w:rPr>
          <w:rFonts w:eastAsia="Calibri"/>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2.1. Kolorektal Kanser</w:t>
      </w:r>
    </w:p>
    <w:p w:rsidR="00392ED6" w:rsidRPr="00392ED6" w:rsidRDefault="00392ED6" w:rsidP="00392ED6">
      <w:pPr>
        <w:spacing w:line="360" w:lineRule="auto"/>
        <w:jc w:val="both"/>
        <w:rPr>
          <w:rFonts w:eastAsia="Calibri"/>
          <w:b/>
          <w:bCs/>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2.1.1.Giriş</w:t>
      </w:r>
    </w:p>
    <w:p w:rsidR="00392ED6" w:rsidRPr="00392ED6" w:rsidRDefault="00392ED6" w:rsidP="00392ED6">
      <w:pPr>
        <w:spacing w:line="360" w:lineRule="auto"/>
        <w:jc w:val="both"/>
        <w:rPr>
          <w:rFonts w:eastAsia="Calibri"/>
          <w:lang w:val="tr-TR" w:eastAsia="tr-TR"/>
        </w:rPr>
      </w:pPr>
      <w:r w:rsidRPr="00392ED6">
        <w:rPr>
          <w:rFonts w:eastAsia="Calibri"/>
          <w:lang w:val="tr-TR" w:eastAsia="tr-TR"/>
        </w:rPr>
        <w:tab/>
        <w:t xml:space="preserve">Kolorektal kanser oldukça sık görülen ve kesin tedaviler uygulanmadığında sıklıkla ölümle sonuçlanabilecek bir hastalıktır. %50-70’i sınırlı evrede başvuran hastaların yaklaşık %30-50’si tanı anında metastatik safhadadır. Güncel tedavi yöntemleri ile sınırlı evre hastalıkta yapılan cerrahi ve gerekli hastalarda uygulanan </w:t>
      </w:r>
      <w:proofErr w:type="gramStart"/>
      <w:r w:rsidRPr="00392ED6">
        <w:rPr>
          <w:rFonts w:eastAsia="Calibri"/>
          <w:lang w:val="tr-TR" w:eastAsia="tr-TR"/>
        </w:rPr>
        <w:t>kemoterapi</w:t>
      </w:r>
      <w:proofErr w:type="gramEnd"/>
      <w:r w:rsidRPr="00392ED6">
        <w:rPr>
          <w:rFonts w:eastAsia="Calibri"/>
          <w:lang w:val="tr-TR" w:eastAsia="tr-TR"/>
        </w:rPr>
        <w:t xml:space="preserve"> ve/veya radyoterapi ile 5 yıllık sağkalım %70 civarındadır. Metastatik kolorektal kanserde sınırlı karaciğer metastazları olanlarda </w:t>
      </w:r>
      <w:proofErr w:type="gramStart"/>
      <w:r w:rsidRPr="00392ED6">
        <w:rPr>
          <w:rFonts w:eastAsia="Calibri"/>
          <w:lang w:val="tr-TR" w:eastAsia="tr-TR"/>
        </w:rPr>
        <w:t>kemoterapi</w:t>
      </w:r>
      <w:proofErr w:type="gramEnd"/>
      <w:r w:rsidRPr="00392ED6">
        <w:rPr>
          <w:rFonts w:eastAsia="Calibri"/>
          <w:lang w:val="tr-TR" w:eastAsia="tr-TR"/>
        </w:rPr>
        <w:t>,  küratif cerrahi,  girişimsel tedaviler uygulanabilirken diğer sistemik metastazları olan hastalarda uygulanabilecek en etkin tedavi kemoterapi ve palyasyon amaçlı radyoterapidir (4,5).</w:t>
      </w:r>
    </w:p>
    <w:p w:rsidR="00392ED6" w:rsidRPr="00392ED6" w:rsidRDefault="00392ED6" w:rsidP="00392ED6">
      <w:pPr>
        <w:spacing w:line="360" w:lineRule="auto"/>
        <w:jc w:val="both"/>
        <w:rPr>
          <w:rFonts w:eastAsia="Calibri"/>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 xml:space="preserve">2.1.2. Epidemiyoloji </w:t>
      </w:r>
    </w:p>
    <w:p w:rsidR="00392ED6" w:rsidRPr="00392ED6" w:rsidRDefault="00392ED6" w:rsidP="00392ED6">
      <w:pPr>
        <w:spacing w:line="360" w:lineRule="auto"/>
        <w:ind w:firstLine="708"/>
        <w:jc w:val="both"/>
        <w:rPr>
          <w:rFonts w:eastAsia="Calibri"/>
          <w:bCs/>
          <w:lang w:val="tr-TR" w:eastAsia="tr-TR"/>
        </w:rPr>
      </w:pPr>
      <w:r w:rsidRPr="00392ED6">
        <w:rPr>
          <w:rFonts w:eastAsia="Calibri"/>
          <w:bCs/>
          <w:lang w:val="tr-TR" w:eastAsia="tr-TR"/>
        </w:rPr>
        <w:t>Kolorektal kanser sıklığı tüm dünyada değişiklik göstermektedir</w:t>
      </w:r>
      <w:r w:rsidRPr="00392ED6">
        <w:rPr>
          <w:rFonts w:eastAsia="Calibri"/>
          <w:b/>
          <w:bCs/>
          <w:lang w:val="tr-TR" w:eastAsia="tr-TR"/>
        </w:rPr>
        <w:t xml:space="preserve">.  </w:t>
      </w:r>
      <w:r w:rsidRPr="00392ED6">
        <w:rPr>
          <w:rFonts w:eastAsia="Calibri"/>
          <w:bCs/>
          <w:lang w:val="tr-TR" w:eastAsia="tr-TR"/>
        </w:rPr>
        <w:t xml:space="preserve">Erkekler </w:t>
      </w:r>
      <w:proofErr w:type="gramStart"/>
      <w:r w:rsidRPr="00392ED6">
        <w:rPr>
          <w:rFonts w:eastAsia="Calibri"/>
          <w:bCs/>
          <w:lang w:val="tr-TR" w:eastAsia="tr-TR"/>
        </w:rPr>
        <w:t>arasında   3</w:t>
      </w:r>
      <w:proofErr w:type="gramEnd"/>
      <w:r w:rsidRPr="00392ED6">
        <w:rPr>
          <w:rFonts w:eastAsia="Calibri"/>
          <w:bCs/>
          <w:lang w:val="tr-TR" w:eastAsia="tr-TR"/>
        </w:rPr>
        <w:t xml:space="preserve">. sıklıkta tanı koyulan kanserken  kadınlar arasında 2. sırada yer almaktadır. Erkekler arasında kadınlardan daha sık görülmektedir ve 2008 yılı verilerine göre dünyada her yıl 1.2 milyon hastaya yeni kolorektal </w:t>
      </w:r>
      <w:proofErr w:type="gramStart"/>
      <w:r w:rsidRPr="00392ED6">
        <w:rPr>
          <w:rFonts w:eastAsia="Calibri"/>
          <w:bCs/>
          <w:lang w:val="tr-TR" w:eastAsia="tr-TR"/>
        </w:rPr>
        <w:t>kanser  tanısı</w:t>
      </w:r>
      <w:proofErr w:type="gramEnd"/>
      <w:r w:rsidRPr="00392ED6">
        <w:rPr>
          <w:rFonts w:eastAsia="Calibri"/>
          <w:bCs/>
          <w:lang w:val="tr-TR" w:eastAsia="tr-TR"/>
        </w:rPr>
        <w:t xml:space="preserve">  konulmakta ve 608 bin hasta bu nedenle hayatını kaybetmektedir. Tüm kanserlere bağlı ölümlerin yaklaşık %9’nu oluşturmaktadır (6). Tanı alan hastaların 2/3’nü kolon kanseri ve 1/3’nü rektum kanseri oluşturur. Dünya genelinde en yüksek insidans oranları Avustralya ve Yeni Zellanda da görülürken en düşük insidans Afrika ve Güney Orta Asya’dadır (</w:t>
      </w:r>
      <w:proofErr w:type="gramStart"/>
      <w:r w:rsidRPr="00392ED6">
        <w:rPr>
          <w:rFonts w:eastAsia="Calibri"/>
          <w:bCs/>
          <w:lang w:val="tr-TR" w:eastAsia="tr-TR"/>
        </w:rPr>
        <w:t>1,2,7</w:t>
      </w:r>
      <w:proofErr w:type="gramEnd"/>
      <w:r w:rsidRPr="00392ED6">
        <w:rPr>
          <w:rFonts w:eastAsia="Calibri"/>
          <w:bCs/>
          <w:lang w:val="tr-TR" w:eastAsia="tr-TR"/>
        </w:rPr>
        <w:t xml:space="preserve">). </w:t>
      </w:r>
    </w:p>
    <w:p w:rsidR="00392ED6" w:rsidRPr="00392ED6" w:rsidRDefault="00392ED6" w:rsidP="00392ED6">
      <w:pPr>
        <w:spacing w:line="360" w:lineRule="auto"/>
        <w:ind w:firstLine="708"/>
        <w:jc w:val="both"/>
        <w:rPr>
          <w:rFonts w:eastAsia="Calibri"/>
          <w:bCs/>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2.1.3. Risk Faktörleri</w:t>
      </w:r>
    </w:p>
    <w:p w:rsidR="00392ED6" w:rsidRPr="00392ED6" w:rsidRDefault="00392ED6" w:rsidP="00392ED6">
      <w:pPr>
        <w:spacing w:line="360" w:lineRule="auto"/>
        <w:jc w:val="both"/>
        <w:rPr>
          <w:rFonts w:eastAsia="Calibri"/>
          <w:lang w:val="tr-TR" w:eastAsia="tr-TR"/>
        </w:rPr>
      </w:pPr>
      <w:r w:rsidRPr="00392ED6">
        <w:rPr>
          <w:rFonts w:eastAsia="Calibri"/>
          <w:lang w:val="tr-TR" w:eastAsia="tr-TR"/>
        </w:rPr>
        <w:tab/>
        <w:t>Kolorektal kanserin gelişimine katkıda bulunan birçok çevresel ve genetik faktör mevcuttur. Kalıtımsal faktörler riski çok artırsa da birçok kolorektal kanser sporadik gelişir. Herediter kolorektal kanser gelişimi için riskli olan temel genetik bozukluk içeren hastalıklar</w:t>
      </w:r>
    </w:p>
    <w:p w:rsidR="00392ED6" w:rsidRPr="00392ED6" w:rsidRDefault="00392ED6" w:rsidP="00392ED6">
      <w:pPr>
        <w:spacing w:line="360" w:lineRule="auto"/>
        <w:jc w:val="both"/>
        <w:rPr>
          <w:rFonts w:eastAsia="Calibri"/>
          <w:lang w:val="tr-TR" w:eastAsia="tr-TR"/>
        </w:rPr>
      </w:pPr>
      <w:r w:rsidRPr="00392ED6">
        <w:rPr>
          <w:rFonts w:eastAsia="Calibri"/>
          <w:lang w:val="tr-TR" w:eastAsia="tr-TR"/>
        </w:rPr>
        <w:t>- Familyal Adenomatöz Polipozis Koli</w:t>
      </w:r>
    </w:p>
    <w:p w:rsidR="00392ED6" w:rsidRPr="00392ED6" w:rsidRDefault="00392ED6" w:rsidP="00392ED6">
      <w:pPr>
        <w:spacing w:line="360" w:lineRule="auto"/>
        <w:jc w:val="both"/>
        <w:rPr>
          <w:rFonts w:eastAsia="Calibri"/>
          <w:lang w:val="tr-TR" w:eastAsia="tr-TR"/>
        </w:rPr>
      </w:pPr>
      <w:r w:rsidRPr="00392ED6">
        <w:rPr>
          <w:rFonts w:eastAsia="Calibri"/>
          <w:lang w:val="tr-TR" w:eastAsia="tr-TR"/>
        </w:rPr>
        <w:t>- Herediter Non Polipozis Kolorektal Kanser (Lynch Sendromu) dir.</w:t>
      </w:r>
    </w:p>
    <w:p w:rsidR="00392ED6" w:rsidRPr="00392ED6" w:rsidRDefault="00392ED6" w:rsidP="00392ED6">
      <w:pPr>
        <w:spacing w:line="360" w:lineRule="auto"/>
        <w:jc w:val="both"/>
        <w:rPr>
          <w:rFonts w:eastAsia="Calibri"/>
          <w:lang w:val="tr-TR" w:eastAsia="tr-TR"/>
        </w:rPr>
      </w:pPr>
      <w:r w:rsidRPr="00392ED6">
        <w:rPr>
          <w:rFonts w:eastAsia="Calibri"/>
          <w:lang w:val="tr-TR" w:eastAsia="tr-TR"/>
        </w:rPr>
        <w:t xml:space="preserve">Ancak her iki hastalık tüm kolorektal kanser vakalarının %5’ni oluşturur. Bunların dışında inflamatuar bağırsak hastalıklarında (Ülseratif kolit ve Crohn hastalığında), diyetinde lifli ve posalı yiyeceklere nazaran kırmızı et ve doymuş yağ asitinden zengin kızarmış veya tütsülenmiş gıdalarla beslenenlerde, zenci ırkta, akromegalili hastalarda, renal transplant </w:t>
      </w:r>
      <w:r w:rsidRPr="00392ED6">
        <w:rPr>
          <w:rFonts w:eastAsia="Calibri"/>
          <w:lang w:val="tr-TR" w:eastAsia="tr-TR"/>
        </w:rPr>
        <w:lastRenderedPageBreak/>
        <w:t xml:space="preserve">yapılan hastalarda, diyabetes mellitus ve insülin rezistansında, androjen </w:t>
      </w:r>
      <w:proofErr w:type="gramStart"/>
      <w:r w:rsidRPr="00392ED6">
        <w:rPr>
          <w:rFonts w:eastAsia="Calibri"/>
          <w:lang w:val="tr-TR" w:eastAsia="tr-TR"/>
        </w:rPr>
        <w:t>blokaj</w:t>
      </w:r>
      <w:proofErr w:type="gramEnd"/>
      <w:r w:rsidRPr="00392ED6">
        <w:rPr>
          <w:rFonts w:eastAsia="Calibri"/>
          <w:lang w:val="tr-TR" w:eastAsia="tr-TR"/>
        </w:rPr>
        <w:t xml:space="preserve"> tedavisi alanlarda, kolesistektomili hastalarda, alkol kullananlarda, obezlerde, sigara içenlerde,  kolorektal kanser gelişme riski normal populasyona göre daha fazladır.</w:t>
      </w:r>
    </w:p>
    <w:p w:rsidR="00392ED6" w:rsidRPr="00392ED6" w:rsidRDefault="00392ED6" w:rsidP="00392ED6">
      <w:pPr>
        <w:spacing w:line="360" w:lineRule="auto"/>
        <w:jc w:val="both"/>
        <w:rPr>
          <w:rFonts w:eastAsia="Calibri"/>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2.1.4. Klinik Bulgular</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Kolorektal kanserde temel klinik bulgular tümörün lümene veya çevre dokulara doğru büyümesine veya metastaz yaptığı bölgede oluşturduğu </w:t>
      </w:r>
      <w:proofErr w:type="gramStart"/>
      <w:r w:rsidRPr="00392ED6">
        <w:rPr>
          <w:rFonts w:eastAsia="Calibri"/>
          <w:lang w:val="tr-TR" w:eastAsia="tr-TR"/>
        </w:rPr>
        <w:t>semptomlara</w:t>
      </w:r>
      <w:proofErr w:type="gramEnd"/>
      <w:r w:rsidRPr="00392ED6">
        <w:rPr>
          <w:rFonts w:eastAsia="Calibri"/>
          <w:lang w:val="tr-TR" w:eastAsia="tr-TR"/>
        </w:rPr>
        <w:t xml:space="preserve"> bağlıdır. İki ayrı çalışmada potansiyel olarak operasyona uygun olan hastalarda </w:t>
      </w:r>
      <w:proofErr w:type="gramStart"/>
      <w:r w:rsidRPr="00392ED6">
        <w:rPr>
          <w:rFonts w:eastAsia="Calibri"/>
          <w:lang w:val="tr-TR" w:eastAsia="tr-TR"/>
        </w:rPr>
        <w:t>semptomlar</w:t>
      </w:r>
      <w:proofErr w:type="gramEnd"/>
      <w:r w:rsidRPr="00392ED6">
        <w:rPr>
          <w:rFonts w:eastAsia="Calibri"/>
          <w:lang w:val="tr-TR" w:eastAsia="tr-TR"/>
        </w:rPr>
        <w:t xml:space="preserve"> incelenmiş ve aşağıdaki sıklıklarda saptanmıştır (8,9).</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-Abdominal ağrı </w:t>
      </w:r>
      <w:r w:rsidRPr="00392ED6">
        <w:rPr>
          <w:rFonts w:eastAsia="Calibri"/>
          <w:lang w:val="tr-TR" w:eastAsia="tr-TR"/>
        </w:rPr>
        <w:sym w:font="Wingdings" w:char="F0E0"/>
      </w:r>
      <w:r w:rsidRPr="00392ED6">
        <w:rPr>
          <w:rFonts w:eastAsia="Calibri"/>
          <w:lang w:val="tr-TR" w:eastAsia="tr-TR"/>
        </w:rPr>
        <w:t xml:space="preserve">                                              %44</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-Bağırsak alışkanlıklarında değişiklik </w:t>
      </w:r>
      <w:r w:rsidRPr="00392ED6">
        <w:rPr>
          <w:rFonts w:eastAsia="Calibri"/>
          <w:lang w:val="tr-TR" w:eastAsia="tr-TR"/>
        </w:rPr>
        <w:sym w:font="Wingdings" w:char="F0E0"/>
      </w:r>
      <w:r w:rsidRPr="00392ED6">
        <w:rPr>
          <w:rFonts w:eastAsia="Calibri"/>
          <w:lang w:val="tr-TR" w:eastAsia="tr-TR"/>
        </w:rPr>
        <w:t xml:space="preserve">               %43</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-Hematokezya veya melana </w:t>
      </w:r>
      <w:r w:rsidRPr="00392ED6">
        <w:rPr>
          <w:rFonts w:eastAsia="Calibri"/>
          <w:lang w:val="tr-TR" w:eastAsia="tr-TR"/>
        </w:rPr>
        <w:sym w:font="Wingdings" w:char="F0E0"/>
      </w:r>
      <w:r w:rsidRPr="00392ED6">
        <w:rPr>
          <w:rFonts w:eastAsia="Calibri"/>
          <w:lang w:val="tr-TR" w:eastAsia="tr-TR"/>
        </w:rPr>
        <w:t xml:space="preserve">                             %40</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-Yorgunluk </w:t>
      </w:r>
      <w:r w:rsidRPr="00392ED6">
        <w:rPr>
          <w:rFonts w:eastAsia="Calibri"/>
          <w:lang w:val="tr-TR" w:eastAsia="tr-TR"/>
        </w:rPr>
        <w:sym w:font="Wingdings" w:char="F0E0"/>
      </w:r>
      <w:r w:rsidRPr="00392ED6">
        <w:rPr>
          <w:rFonts w:eastAsia="Calibri"/>
          <w:lang w:val="tr-TR" w:eastAsia="tr-TR"/>
        </w:rPr>
        <w:t xml:space="preserve">                                                     %20</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-Gastrointestinal </w:t>
      </w:r>
      <w:proofErr w:type="gramStart"/>
      <w:r w:rsidRPr="00392ED6">
        <w:rPr>
          <w:rFonts w:eastAsia="Calibri"/>
          <w:lang w:val="tr-TR" w:eastAsia="tr-TR"/>
        </w:rPr>
        <w:t>semptomlar</w:t>
      </w:r>
      <w:proofErr w:type="gramEnd"/>
      <w:r w:rsidRPr="00392ED6">
        <w:rPr>
          <w:rFonts w:eastAsia="Calibri"/>
          <w:lang w:val="tr-TR" w:eastAsia="tr-TR"/>
        </w:rPr>
        <w:t xml:space="preserve"> olmaksızın anemi </w:t>
      </w:r>
      <w:r w:rsidRPr="00392ED6">
        <w:rPr>
          <w:rFonts w:eastAsia="Calibri"/>
          <w:lang w:val="tr-TR" w:eastAsia="tr-TR"/>
        </w:rPr>
        <w:sym w:font="Wingdings" w:char="F0E0"/>
      </w:r>
      <w:r w:rsidRPr="00392ED6">
        <w:rPr>
          <w:rFonts w:eastAsia="Calibri"/>
          <w:lang w:val="tr-TR" w:eastAsia="tr-TR"/>
        </w:rPr>
        <w:t>%11</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-Kilo kaybı </w:t>
      </w:r>
      <w:r w:rsidRPr="00392ED6">
        <w:rPr>
          <w:rFonts w:eastAsia="Calibri"/>
          <w:lang w:val="tr-TR" w:eastAsia="tr-TR"/>
        </w:rPr>
        <w:sym w:font="Wingdings" w:char="F0E0"/>
      </w:r>
      <w:r w:rsidRPr="00392ED6">
        <w:rPr>
          <w:rFonts w:eastAsia="Calibri"/>
          <w:lang w:val="tr-TR" w:eastAsia="tr-TR"/>
        </w:rPr>
        <w:t xml:space="preserve">                                                      %6</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Bu bulguların sensitivitesi düşükken alarm </w:t>
      </w:r>
      <w:proofErr w:type="gramStart"/>
      <w:r w:rsidRPr="00392ED6">
        <w:rPr>
          <w:rFonts w:eastAsia="Calibri"/>
          <w:lang w:val="tr-TR" w:eastAsia="tr-TR"/>
        </w:rPr>
        <w:t>semptomları</w:t>
      </w:r>
      <w:proofErr w:type="gramEnd"/>
      <w:r w:rsidRPr="00392ED6">
        <w:rPr>
          <w:rFonts w:eastAsia="Calibri"/>
          <w:lang w:val="tr-TR" w:eastAsia="tr-TR"/>
        </w:rPr>
        <w:t xml:space="preserve"> olan hastalarda (koyu kırmızı rektal kanama veya abdominal kitle gibi) semptomların spesifitesi %95’lere kadar çıkar (10). Vakaların %20-30’u tanı anında metastatik evrededir (11). En sık görülen metastaz bölgeleri bölgesel lenf nodları, karaciğer, akciğer ve peritondur ve metastazın olduğu bölgeye göre </w:t>
      </w:r>
      <w:proofErr w:type="gramStart"/>
      <w:r w:rsidRPr="00392ED6">
        <w:rPr>
          <w:rFonts w:eastAsia="Calibri"/>
          <w:lang w:val="tr-TR" w:eastAsia="tr-TR"/>
        </w:rPr>
        <w:t>semptomlar</w:t>
      </w:r>
      <w:proofErr w:type="gramEnd"/>
      <w:r w:rsidRPr="00392ED6">
        <w:rPr>
          <w:rFonts w:eastAsia="Calibri"/>
          <w:lang w:val="tr-TR" w:eastAsia="tr-TR"/>
        </w:rPr>
        <w:t xml:space="preserve"> değişkenlik gösterebilmektedir. Kolondan kaynaklanan tümörler portal sistem nedeniyle öncelikle karaciğere metastaz yaparken distal rektum orjinli tümörler vena cava inferior yoluyla akciğere metastaz yaparlar.</w:t>
      </w:r>
    </w:p>
    <w:p w:rsidR="00392ED6" w:rsidRPr="00392ED6" w:rsidRDefault="00392ED6" w:rsidP="00392ED6">
      <w:pPr>
        <w:spacing w:line="360" w:lineRule="auto"/>
        <w:jc w:val="both"/>
        <w:rPr>
          <w:rFonts w:eastAsia="Calibri"/>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2.1.5.Tanı ve Evreleme</w:t>
      </w:r>
    </w:p>
    <w:p w:rsidR="00392ED6" w:rsidRPr="00392ED6" w:rsidRDefault="00392ED6" w:rsidP="00392ED6">
      <w:pPr>
        <w:spacing w:line="360" w:lineRule="auto"/>
        <w:jc w:val="both"/>
        <w:rPr>
          <w:rFonts w:eastAsia="Calibri"/>
          <w:lang w:val="tr-TR" w:eastAsia="tr-TR"/>
        </w:rPr>
      </w:pPr>
      <w:r w:rsidRPr="00392ED6">
        <w:rPr>
          <w:rFonts w:eastAsia="Calibri"/>
          <w:lang w:val="tr-TR" w:eastAsia="tr-TR"/>
        </w:rPr>
        <w:tab/>
        <w:t xml:space="preserve">Uygun öykü ve fizik muayeneden sonra dirençli demir eksikliği anemisi olan, </w:t>
      </w:r>
      <w:proofErr w:type="gramStart"/>
      <w:r w:rsidRPr="00392ED6">
        <w:rPr>
          <w:rFonts w:eastAsia="Calibri"/>
          <w:lang w:val="tr-TR" w:eastAsia="tr-TR"/>
        </w:rPr>
        <w:t>kolorektal  kanserden</w:t>
      </w:r>
      <w:proofErr w:type="gramEnd"/>
      <w:r w:rsidRPr="00392ED6">
        <w:rPr>
          <w:rFonts w:eastAsia="Calibri"/>
          <w:lang w:val="tr-TR" w:eastAsia="tr-TR"/>
        </w:rPr>
        <w:t xml:space="preserve"> şüphelenilen vakalarda gaitada gizli kan, baryumlu kontrastlı tetkikler, kolonoskopi, sanal kolonoskopi veya bilgisayarlı tomografi ve metastatik hastalıkta ayırıcı tanıda daha çok olmak üzere PET BT (pozitron emisyon tomografisi)  tanıda kullanılabilir. </w:t>
      </w:r>
      <w:proofErr w:type="gramStart"/>
      <w:r w:rsidRPr="00392ED6">
        <w:rPr>
          <w:rFonts w:eastAsia="Calibri"/>
          <w:lang w:val="tr-TR" w:eastAsia="tr-TR"/>
        </w:rPr>
        <w:t>Bir çok</w:t>
      </w:r>
      <w:proofErr w:type="gramEnd"/>
      <w:r w:rsidRPr="00392ED6">
        <w:rPr>
          <w:rFonts w:eastAsia="Calibri"/>
          <w:lang w:val="tr-TR" w:eastAsia="tr-TR"/>
        </w:rPr>
        <w:t xml:space="preserve"> vakanın endoluminal hastalık şeklinde prezente olması nedeniyle kolonoskopi en değerli görüntüleme yöntemidir.  Uygun hastalardan kolonoskopik inceleme esnasında tümörlü dokudan alınan doku örneklerinin patolojik incelemesi tanının koyulmasında yardımcıdır. Tümör belirleyicileri </w:t>
      </w:r>
      <w:proofErr w:type="gramStart"/>
      <w:r w:rsidRPr="00392ED6">
        <w:rPr>
          <w:rFonts w:eastAsia="Calibri"/>
          <w:lang w:val="tr-TR" w:eastAsia="tr-TR"/>
        </w:rPr>
        <w:t>(</w:t>
      </w:r>
      <w:proofErr w:type="gramEnd"/>
      <w:r w:rsidRPr="00392ED6">
        <w:rPr>
          <w:rFonts w:eastAsia="Calibri"/>
          <w:lang w:val="tr-TR" w:eastAsia="tr-TR"/>
        </w:rPr>
        <w:t>karsinoembriyonik antijen (CEA ve Ca19.9) ise diğer birçok tümörde olduğu gibi tanıdan ziyade prognoz ve tedaviye yanıtı belirlemede önemlidir.</w:t>
      </w:r>
    </w:p>
    <w:p w:rsidR="00392ED6" w:rsidRPr="00392ED6" w:rsidRDefault="00392ED6" w:rsidP="00392ED6">
      <w:pPr>
        <w:spacing w:line="360" w:lineRule="auto"/>
        <w:jc w:val="both"/>
        <w:rPr>
          <w:rFonts w:eastAsia="Calibri"/>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lastRenderedPageBreak/>
        <w:t>2.1.6.Ayırıcı Tanı</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Kolorektal kanserlerin büyük çoğunluğunu adenokarsinomlar oluşturur. Benign ve malign birçok durum kolorektal kansere benzer bulgulara yol açabilir. Benign durumlar arasında internal ve eksternal hemoroidler, divertikülitler ve inflamatuar bağırsak hastalıkları sayılabilirken, malign hastalıklar arasında karsinoid tümörler, kaposi sarkomu ve lenfomalar yer alır.  Bunların yanında over kanseri gibi başka primer tümörlerden gelişebilecek metastazlar da kolon kanseri gibi bulgu verebilir.</w:t>
      </w:r>
    </w:p>
    <w:p w:rsidR="00392ED6" w:rsidRPr="00392ED6" w:rsidRDefault="00392ED6" w:rsidP="00392ED6">
      <w:pPr>
        <w:spacing w:line="360" w:lineRule="auto"/>
        <w:ind w:firstLine="708"/>
        <w:jc w:val="both"/>
        <w:rPr>
          <w:rFonts w:eastAsia="Calibri"/>
          <w:b/>
          <w:bCs/>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2.1.7. Prognoz</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Tarama programlarının ve genel sağlık hizmetinin yaygınlaşması kolorektal kanserde hastaların daha erken safhada saptanmasına ve uygun tedaviyle uzun süreli hastalıksız sağ kalımlara yol açmıştır. Kolon ve rektum kanserinde AJCC 7. TNM evreleme sistemi kullanılmakta ve evreye göre 5 yıllık sağ kalım oranları farklılık göstermektedir. Kolon kanserinde 5 yıllık sağ kalım yüzdeleri aşağıdaki gibidir.</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*Evre I (T1-2 N0) </w:t>
      </w:r>
      <w:r w:rsidRPr="00392ED6">
        <w:rPr>
          <w:rFonts w:eastAsia="Calibri"/>
          <w:lang w:val="tr-TR" w:eastAsia="tr-TR"/>
        </w:rPr>
        <w:sym w:font="Wingdings" w:char="F0E0"/>
      </w:r>
      <w:r w:rsidRPr="00392ED6">
        <w:rPr>
          <w:rFonts w:eastAsia="Calibri"/>
          <w:lang w:val="tr-TR" w:eastAsia="tr-TR"/>
        </w:rPr>
        <w:t xml:space="preserve">     %74</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*Evre IIA (T3N0) </w:t>
      </w:r>
      <w:r w:rsidRPr="00392ED6">
        <w:rPr>
          <w:rFonts w:eastAsia="Calibri"/>
          <w:lang w:val="tr-TR" w:eastAsia="tr-TR"/>
        </w:rPr>
        <w:sym w:font="Wingdings" w:char="F0E0"/>
      </w:r>
      <w:r w:rsidRPr="00392ED6">
        <w:rPr>
          <w:rFonts w:eastAsia="Calibri"/>
          <w:lang w:val="tr-TR" w:eastAsia="tr-TR"/>
        </w:rPr>
        <w:t xml:space="preserve">     %67</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*Evre IIB (T4N0) </w:t>
      </w:r>
      <w:r w:rsidRPr="00392ED6">
        <w:rPr>
          <w:rFonts w:eastAsia="Calibri"/>
          <w:lang w:val="tr-TR" w:eastAsia="tr-TR"/>
        </w:rPr>
        <w:sym w:font="Wingdings" w:char="F0E0"/>
      </w:r>
      <w:r w:rsidRPr="00392ED6">
        <w:rPr>
          <w:rFonts w:eastAsia="Calibri"/>
          <w:lang w:val="tr-TR" w:eastAsia="tr-TR"/>
        </w:rPr>
        <w:t xml:space="preserve">     %58</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*Evre IIC (T4N1) </w:t>
      </w:r>
      <w:r w:rsidRPr="00392ED6">
        <w:rPr>
          <w:rFonts w:eastAsia="Calibri"/>
          <w:lang w:val="tr-TR" w:eastAsia="tr-TR"/>
        </w:rPr>
        <w:sym w:font="Wingdings" w:char="F0E0"/>
      </w:r>
      <w:r w:rsidRPr="00392ED6">
        <w:rPr>
          <w:rFonts w:eastAsia="Calibri"/>
          <w:lang w:val="tr-TR" w:eastAsia="tr-TR"/>
        </w:rPr>
        <w:t xml:space="preserve">      %37</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 Evre IIIA (T1-2N1) </w:t>
      </w:r>
      <w:r w:rsidRPr="00392ED6">
        <w:rPr>
          <w:rFonts w:eastAsia="Calibri"/>
          <w:lang w:val="tr-TR" w:eastAsia="tr-TR"/>
        </w:rPr>
        <w:sym w:font="Wingdings" w:char="F0E0"/>
      </w:r>
      <w:r w:rsidRPr="00392ED6">
        <w:rPr>
          <w:rFonts w:eastAsia="Calibri"/>
          <w:lang w:val="tr-TR" w:eastAsia="tr-TR"/>
        </w:rPr>
        <w:t>%73</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 Evre IIIB (T3-4N1) </w:t>
      </w:r>
      <w:r w:rsidRPr="00392ED6">
        <w:rPr>
          <w:rFonts w:eastAsia="Calibri"/>
          <w:lang w:val="tr-TR" w:eastAsia="tr-TR"/>
        </w:rPr>
        <w:sym w:font="Wingdings" w:char="F0E0"/>
      </w:r>
      <w:r w:rsidRPr="00392ED6">
        <w:rPr>
          <w:rFonts w:eastAsia="Calibri"/>
          <w:lang w:val="tr-TR" w:eastAsia="tr-TR"/>
        </w:rPr>
        <w:t xml:space="preserve"> %46</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 Evre IIIC (N2) </w:t>
      </w:r>
      <w:r w:rsidRPr="00392ED6">
        <w:rPr>
          <w:rFonts w:eastAsia="Calibri"/>
          <w:lang w:val="tr-TR" w:eastAsia="tr-TR"/>
        </w:rPr>
        <w:sym w:font="Wingdings" w:char="F0E0"/>
      </w:r>
      <w:r w:rsidRPr="00392ED6">
        <w:rPr>
          <w:rFonts w:eastAsia="Calibri"/>
          <w:lang w:val="tr-TR" w:eastAsia="tr-TR"/>
        </w:rPr>
        <w:t xml:space="preserve">        %28</w:t>
      </w:r>
    </w:p>
    <w:p w:rsidR="00392ED6" w:rsidRPr="00392ED6" w:rsidRDefault="00392ED6" w:rsidP="00392ED6">
      <w:pPr>
        <w:spacing w:line="360" w:lineRule="auto"/>
        <w:ind w:firstLine="708"/>
        <w:jc w:val="both"/>
        <w:rPr>
          <w:rFonts w:eastAsia="Calibri"/>
          <w:lang w:val="tr-TR" w:eastAsia="tr-TR"/>
        </w:rPr>
      </w:pPr>
      <w:r w:rsidRPr="00392ED6">
        <w:rPr>
          <w:rFonts w:eastAsia="Calibri"/>
          <w:lang w:val="tr-TR" w:eastAsia="tr-TR"/>
        </w:rPr>
        <w:t xml:space="preserve">* Evre IV (M1) </w:t>
      </w:r>
      <w:r w:rsidRPr="00392ED6">
        <w:rPr>
          <w:rFonts w:eastAsia="Calibri"/>
          <w:lang w:val="tr-TR" w:eastAsia="tr-TR"/>
        </w:rPr>
        <w:sym w:font="Wingdings" w:char="F0E0"/>
      </w:r>
      <w:r w:rsidRPr="00392ED6">
        <w:rPr>
          <w:rFonts w:eastAsia="Calibri"/>
          <w:lang w:val="tr-TR" w:eastAsia="tr-TR"/>
        </w:rPr>
        <w:t xml:space="preserve">           %6</w:t>
      </w:r>
    </w:p>
    <w:p w:rsidR="00392ED6" w:rsidRPr="00392ED6" w:rsidRDefault="00392ED6" w:rsidP="00392ED6">
      <w:pPr>
        <w:spacing w:line="360" w:lineRule="auto"/>
        <w:ind w:firstLine="708"/>
        <w:jc w:val="both"/>
        <w:rPr>
          <w:rFonts w:eastAsia="Calibri"/>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2.2.1.Tümör Gelişimi ve Anjiyogenez</w:t>
      </w:r>
    </w:p>
    <w:p w:rsidR="00392ED6" w:rsidRPr="00392ED6" w:rsidRDefault="00392ED6" w:rsidP="00392ED6">
      <w:pPr>
        <w:spacing w:line="360" w:lineRule="auto"/>
        <w:ind w:firstLine="708"/>
        <w:jc w:val="both"/>
        <w:rPr>
          <w:bCs/>
          <w:color w:val="000000"/>
          <w:lang w:val="tr-TR" w:eastAsia="tr-TR"/>
        </w:rPr>
      </w:pPr>
      <w:r w:rsidRPr="00392ED6">
        <w:rPr>
          <w:bCs/>
          <w:color w:val="000000"/>
          <w:lang w:val="tr-TR" w:eastAsia="tr-TR"/>
        </w:rPr>
        <w:t xml:space="preserve">Dokuda yeni kan damarlarının gelişmesi demek olan anjiyogenez, normal şartlarda vücutta doğal olarak ortaya çıkan bir süreçtir. Fizyolojik </w:t>
      </w:r>
      <w:proofErr w:type="gramStart"/>
      <w:r w:rsidRPr="00392ED6">
        <w:rPr>
          <w:bCs/>
          <w:color w:val="000000"/>
          <w:lang w:val="tr-TR" w:eastAsia="tr-TR"/>
        </w:rPr>
        <w:t>olarak  anjiyogenez</w:t>
      </w:r>
      <w:proofErr w:type="gramEnd"/>
      <w:r w:rsidRPr="00392ED6">
        <w:rPr>
          <w:bCs/>
          <w:color w:val="000000"/>
          <w:lang w:val="tr-TR" w:eastAsia="tr-TR"/>
        </w:rPr>
        <w:t xml:space="preserve">; embriyogenez, yara iyileşmesi ve menstrüel siklüs esnasında endometriyumda gözlenir (12).  Proanjiogenik ve anti anjiogenik faktörler ile dengede tutulan bu durum aradaki bu denge </w:t>
      </w:r>
      <w:proofErr w:type="gramStart"/>
      <w:r w:rsidRPr="00392ED6">
        <w:rPr>
          <w:bCs/>
          <w:color w:val="000000"/>
          <w:lang w:val="tr-TR" w:eastAsia="tr-TR"/>
        </w:rPr>
        <w:t>bozulduğunda  kontrol</w:t>
      </w:r>
      <w:proofErr w:type="gramEnd"/>
      <w:r w:rsidRPr="00392ED6">
        <w:rPr>
          <w:bCs/>
          <w:color w:val="000000"/>
          <w:lang w:val="tr-TR" w:eastAsia="tr-TR"/>
        </w:rPr>
        <w:t xml:space="preserve"> edilemez bir hal alır. Patolojik olan bu durum inflamatuvar hastalıklarda (artrit, kronik inflamasyon, inflamatuvar bağırsak hastalıkları, psöriazis), çeşitli kanserlerde (meme, mesane, kolon, akciğer, nöroblastom, melanom, böbrek, pankreas, uterus, serviks, glioblastom) ve göz hastalıklarında (yaşla ilişkili maküler </w:t>
      </w:r>
      <w:proofErr w:type="gramStart"/>
      <w:r w:rsidRPr="00392ED6">
        <w:rPr>
          <w:bCs/>
          <w:color w:val="000000"/>
          <w:lang w:val="tr-TR" w:eastAsia="tr-TR"/>
        </w:rPr>
        <w:t>dejenerasyon</w:t>
      </w:r>
      <w:proofErr w:type="gramEnd"/>
      <w:r w:rsidRPr="00392ED6">
        <w:rPr>
          <w:bCs/>
          <w:color w:val="000000"/>
          <w:lang w:val="tr-TR" w:eastAsia="tr-TR"/>
        </w:rPr>
        <w:t>, proliferatif retinopati) görülebilir. Periferik arter hastalıklarında ve gecikmiş yara iyileşmesinde ise anjiyogenezin yetersizliği söz konusudur (13-15).</w:t>
      </w:r>
    </w:p>
    <w:p w:rsidR="00392ED6" w:rsidRPr="00392ED6" w:rsidRDefault="00392ED6" w:rsidP="00392ED6">
      <w:pPr>
        <w:spacing w:line="360" w:lineRule="auto"/>
        <w:jc w:val="both"/>
        <w:rPr>
          <w:bCs/>
          <w:color w:val="000000"/>
          <w:lang w:val="tr-TR" w:eastAsia="tr-TR"/>
        </w:rPr>
      </w:pPr>
    </w:p>
    <w:p w:rsidR="00392ED6" w:rsidRPr="00392ED6" w:rsidRDefault="00392ED6" w:rsidP="00392ED6">
      <w:pPr>
        <w:spacing w:line="360" w:lineRule="auto"/>
        <w:jc w:val="both"/>
        <w:rPr>
          <w:bCs/>
          <w:color w:val="000000"/>
          <w:lang w:val="tr-TR" w:eastAsia="tr-TR"/>
        </w:rPr>
      </w:pPr>
      <w:r w:rsidRPr="00392ED6">
        <w:rPr>
          <w:bCs/>
          <w:color w:val="000000"/>
          <w:lang w:val="tr-TR" w:eastAsia="tr-TR"/>
        </w:rPr>
        <w:tab/>
        <w:t>Anjiyogenez oldukça karmaşık bir yapıya sahip birbirini takip eden mekanizmalar ile gerçekleşir. Bu olayda ekstrasellüler matriks ve matriksi çevreleyen hücrelerden salınan pek çok büyüme faktörü, sitokinler ve bunların reseptörleri temel rol oynar (16-19).</w:t>
      </w:r>
    </w:p>
    <w:p w:rsidR="00392ED6" w:rsidRPr="00392ED6" w:rsidRDefault="00392ED6" w:rsidP="00392ED6">
      <w:pPr>
        <w:spacing w:line="360" w:lineRule="auto"/>
        <w:jc w:val="both"/>
        <w:rPr>
          <w:bCs/>
          <w:color w:val="000000"/>
          <w:lang w:val="tr-TR" w:eastAsia="tr-TR"/>
        </w:rPr>
      </w:pPr>
      <w:r w:rsidRPr="00392ED6">
        <w:rPr>
          <w:bCs/>
          <w:color w:val="000000"/>
          <w:lang w:val="tr-TR" w:eastAsia="tr-TR"/>
        </w:rPr>
        <w:t xml:space="preserve">Endotel hücreleri, bu süreçte rol </w:t>
      </w:r>
      <w:proofErr w:type="gramStart"/>
      <w:r w:rsidRPr="00392ED6">
        <w:rPr>
          <w:bCs/>
          <w:color w:val="000000"/>
          <w:lang w:val="tr-TR" w:eastAsia="tr-TR"/>
        </w:rPr>
        <w:t>oynayan  temel</w:t>
      </w:r>
      <w:proofErr w:type="gramEnd"/>
      <w:r w:rsidRPr="00392ED6">
        <w:rPr>
          <w:bCs/>
          <w:color w:val="000000"/>
          <w:lang w:val="tr-TR" w:eastAsia="tr-TR"/>
        </w:rPr>
        <w:t xml:space="preserve"> hücrelerdir. Yetişkin bireylerdeki endotelyal hücreler tipik olarak yavaş yenilenmelerine rağmen, temel olarak yaşamları boyunca yeni kan damarları oluşturacak çoğalma kapasitesine sahiptirler  (20).</w:t>
      </w:r>
    </w:p>
    <w:p w:rsidR="00392ED6" w:rsidRPr="00392ED6" w:rsidRDefault="00392ED6" w:rsidP="00392ED6">
      <w:pPr>
        <w:spacing w:line="360" w:lineRule="auto"/>
        <w:jc w:val="both"/>
        <w:rPr>
          <w:bCs/>
          <w:color w:val="000000"/>
          <w:lang w:val="tr-TR" w:eastAsia="tr-TR"/>
        </w:rPr>
      </w:pPr>
      <w:r w:rsidRPr="00392ED6">
        <w:rPr>
          <w:bCs/>
          <w:color w:val="000000"/>
          <w:lang w:val="tr-TR" w:eastAsia="tr-TR"/>
        </w:rPr>
        <w:tab/>
        <w:t>Temel olarak patolojik anjiyogenezi başlatan durumların hepsi net olarak bilinmese de en büyük olasılık anjiyogenik uyarıcılar ve anjiyogenez inhibitörleri arasındaki dengenin, normalde damarsal bileşenlerin sessiz halde kalmalarını sağlıyor olmasıdır. Anjiyogenik uyaranların artışı ve anjiyogenez inhibitörlerinin azalışı anjiyogenezi başlatmaktadır (21).</w:t>
      </w:r>
    </w:p>
    <w:p w:rsidR="00392ED6" w:rsidRPr="00392ED6" w:rsidRDefault="00392ED6" w:rsidP="00392ED6">
      <w:pPr>
        <w:spacing w:line="360" w:lineRule="auto"/>
        <w:jc w:val="both"/>
        <w:rPr>
          <w:bCs/>
          <w:color w:val="000000"/>
          <w:lang w:val="tr-TR" w:eastAsia="tr-TR"/>
        </w:rPr>
      </w:pPr>
      <w:r>
        <w:rPr>
          <w:noProof/>
          <w:color w:val="000000"/>
          <w:lang w:val="tr-TR" w:eastAsia="tr-TR"/>
        </w:rPr>
        <w:drawing>
          <wp:inline distT="0" distB="0" distL="0" distR="0">
            <wp:extent cx="5757545" cy="3344545"/>
            <wp:effectExtent l="0" t="0" r="0" b="0"/>
            <wp:docPr id="1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7545" cy="3344545"/>
                    </a:xfrm>
                    <a:prstGeom prst="rect">
                      <a:avLst/>
                    </a:prstGeom>
                    <a:noFill/>
                    <a:ln>
                      <a:noFill/>
                    </a:ln>
                  </pic:spPr>
                </pic:pic>
              </a:graphicData>
            </a:graphic>
          </wp:inline>
        </w:drawing>
      </w:r>
    </w:p>
    <w:p w:rsidR="00392ED6" w:rsidRPr="00392ED6" w:rsidRDefault="00392ED6" w:rsidP="00392ED6">
      <w:pPr>
        <w:spacing w:line="360" w:lineRule="auto"/>
        <w:jc w:val="both"/>
        <w:rPr>
          <w:b/>
          <w:bCs/>
          <w:color w:val="000000"/>
          <w:lang w:val="tr-TR" w:eastAsia="tr-TR"/>
        </w:rPr>
      </w:pPr>
      <w:r w:rsidRPr="00392ED6">
        <w:rPr>
          <w:b/>
          <w:bCs/>
          <w:color w:val="000000"/>
          <w:lang w:val="tr-TR" w:eastAsia="tr-TR"/>
        </w:rPr>
        <w:t>Şekil.1 Normal doku onarımı ve tümörlerde anjiogenezi uyaran ortak yollar (59)</w:t>
      </w:r>
    </w:p>
    <w:p w:rsidR="00392ED6" w:rsidRPr="00392ED6" w:rsidRDefault="00392ED6" w:rsidP="00392ED6">
      <w:pPr>
        <w:spacing w:line="360" w:lineRule="auto"/>
        <w:jc w:val="both"/>
        <w:rPr>
          <w:bCs/>
          <w:color w:val="000000"/>
          <w:lang w:val="tr-TR" w:eastAsia="tr-TR"/>
        </w:rPr>
      </w:pPr>
    </w:p>
    <w:p w:rsidR="00392ED6" w:rsidRPr="00392ED6" w:rsidRDefault="00392ED6" w:rsidP="00392ED6">
      <w:pPr>
        <w:spacing w:line="360" w:lineRule="auto"/>
        <w:jc w:val="both"/>
        <w:rPr>
          <w:bCs/>
          <w:color w:val="000000"/>
          <w:lang w:val="tr-TR" w:eastAsia="tr-TR"/>
        </w:rPr>
      </w:pPr>
      <w:r w:rsidRPr="00392ED6">
        <w:rPr>
          <w:bCs/>
          <w:color w:val="000000"/>
          <w:lang w:val="tr-TR" w:eastAsia="tr-TR"/>
        </w:rPr>
        <w:tab/>
        <w:t xml:space="preserve">Anjiyogenezin tarihçesi incelendiğinde bilim insanlarının yaklaşık bir asır </w:t>
      </w:r>
      <w:proofErr w:type="gramStart"/>
      <w:r w:rsidRPr="00392ED6">
        <w:rPr>
          <w:bCs/>
          <w:color w:val="000000"/>
          <w:lang w:val="tr-TR" w:eastAsia="tr-TR"/>
        </w:rPr>
        <w:t>önce  tümör</w:t>
      </w:r>
      <w:proofErr w:type="gramEnd"/>
      <w:r w:rsidRPr="00392ED6">
        <w:rPr>
          <w:bCs/>
          <w:color w:val="000000"/>
          <w:lang w:val="tr-TR" w:eastAsia="tr-TR"/>
        </w:rPr>
        <w:t xml:space="preserve"> içerisinde yeni damar gelişimlerinden bahsettiği görülmektedir. Ancak bu dönemde tümör hiperemisi olarak adlandırılan bu durum, tümörde oluşan metabolik artıklara bağlı gelişen basit bir dilatasyon olarak düşünülmüştür. Daha sonraki dönemde, tümörün mevcut damarlarla mı beslendiği yoksa yeniden damarlanmanın mı olduğu tartışılmış, yeniden damarlanmayı kabul edenler bile bunun tümör gelişimi için gerekli olmadığını, basit bir reaksiyon olduğunu ileri sürmüşlerdir. Yaralanma sonucunda oluşan yeniden damarlanmanın durduğu ve gerilediği, ancak tümör implantında damar gelişiminin giderek arttığı ilk kez 1939 </w:t>
      </w:r>
      <w:r w:rsidRPr="00392ED6">
        <w:rPr>
          <w:bCs/>
          <w:color w:val="000000"/>
          <w:lang w:val="tr-TR" w:eastAsia="tr-TR"/>
        </w:rPr>
        <w:lastRenderedPageBreak/>
        <w:t xml:space="preserve">yılında fark edilmiştir (22,23).  Tümör implantındaki yeni damarların konakçı damarlardan köken aldığı 1945 yılında yapılan bir çalışmada belirtilmiştir (24). Bu konuda ilk çarpıcı </w:t>
      </w:r>
      <w:proofErr w:type="gramStart"/>
      <w:r w:rsidRPr="00392ED6">
        <w:rPr>
          <w:bCs/>
          <w:color w:val="000000"/>
          <w:lang w:val="tr-TR" w:eastAsia="tr-TR"/>
        </w:rPr>
        <w:t>söylemi  Folkman</w:t>
      </w:r>
      <w:proofErr w:type="gramEnd"/>
      <w:r w:rsidRPr="00392ED6">
        <w:rPr>
          <w:bCs/>
          <w:color w:val="000000"/>
          <w:lang w:val="tr-TR" w:eastAsia="tr-TR"/>
        </w:rPr>
        <w:t xml:space="preserve"> 1971 yılında “tümör gelişimi anjiyogeneze bağımlıdır” diyerek yapmıştır (25). Daha sonraki çalışmalarda elde edilen bulgular tümör gelişiminin yeni damar oluşumuna ihtiyaç gösterdiğini ve tümörlerin kendi anjiyogenezlerini uyardığını kanıtlamıştır (26). Temel olarak tümör dokusunun boyutu 0,2 </w:t>
      </w:r>
      <w:proofErr w:type="gramStart"/>
      <w:r w:rsidRPr="00392ED6">
        <w:rPr>
          <w:bCs/>
          <w:color w:val="000000"/>
          <w:lang w:val="tr-TR" w:eastAsia="tr-TR"/>
        </w:rPr>
        <w:t>mm3  üstüne</w:t>
      </w:r>
      <w:proofErr w:type="gramEnd"/>
      <w:r w:rsidRPr="00392ED6">
        <w:rPr>
          <w:bCs/>
          <w:color w:val="000000"/>
          <w:lang w:val="tr-TR" w:eastAsia="tr-TR"/>
        </w:rPr>
        <w:t xml:space="preserve"> çıkınca tümörün beslenmesi anjiyogeneze bağımlı iken, 0,2 mm3 daha küçük bir tümör, oksijen ve gıdayı difüzyon ile çevre dokulardan alabilmektedir (27).</w:t>
      </w:r>
    </w:p>
    <w:p w:rsidR="00392ED6" w:rsidRPr="00392ED6" w:rsidRDefault="00392ED6" w:rsidP="00392ED6">
      <w:pPr>
        <w:spacing w:line="360" w:lineRule="auto"/>
        <w:jc w:val="both"/>
        <w:rPr>
          <w:rFonts w:ascii="Calibri" w:eastAsia="Calibri" w:hAnsi="Calibri" w:cs="Calibri"/>
          <w:b/>
          <w:sz w:val="22"/>
          <w:szCs w:val="22"/>
        </w:rPr>
      </w:pPr>
      <w:r w:rsidRPr="00392ED6">
        <w:rPr>
          <w:bCs/>
          <w:color w:val="000000"/>
          <w:lang w:val="tr-TR" w:eastAsia="tr-TR"/>
        </w:rPr>
        <w:tab/>
        <w:t xml:space="preserve">Tümörogenez esnasında mikrodamarlar, gelişen tümör </w:t>
      </w:r>
      <w:proofErr w:type="gramStart"/>
      <w:r w:rsidRPr="00392ED6">
        <w:rPr>
          <w:bCs/>
          <w:color w:val="000000"/>
          <w:lang w:val="tr-TR" w:eastAsia="tr-TR"/>
        </w:rPr>
        <w:t>dokusuna  besin</w:t>
      </w:r>
      <w:proofErr w:type="gramEnd"/>
      <w:r w:rsidRPr="00392ED6">
        <w:rPr>
          <w:bCs/>
          <w:color w:val="000000"/>
          <w:lang w:val="tr-TR" w:eastAsia="tr-TR"/>
        </w:rPr>
        <w:t xml:space="preserve">, oksijen ve büyüme faktörleri sağlamak amacıyla sayıca büyük oranda artış gösterir. Hasta için patolojik tümör </w:t>
      </w:r>
      <w:proofErr w:type="gramStart"/>
      <w:r w:rsidRPr="00392ED6">
        <w:rPr>
          <w:bCs/>
          <w:color w:val="000000"/>
          <w:lang w:val="tr-TR" w:eastAsia="tr-TR"/>
        </w:rPr>
        <w:t>dokusu  için</w:t>
      </w:r>
      <w:proofErr w:type="gramEnd"/>
      <w:r w:rsidRPr="00392ED6">
        <w:rPr>
          <w:bCs/>
          <w:color w:val="000000"/>
          <w:lang w:val="tr-TR" w:eastAsia="tr-TR"/>
        </w:rPr>
        <w:t xml:space="preserve"> fizyolojik olan bu süreç normal fizyolojik anjiyogeneze göre farklılıklar göstermektedir (</w:t>
      </w:r>
      <w:r w:rsidRPr="00392ED6">
        <w:rPr>
          <w:b/>
          <w:bCs/>
          <w:color w:val="000000"/>
          <w:lang w:val="tr-TR" w:eastAsia="tr-TR"/>
        </w:rPr>
        <w:t>Şekil.1</w:t>
      </w:r>
      <w:r w:rsidRPr="00392ED6">
        <w:rPr>
          <w:bCs/>
          <w:color w:val="000000"/>
          <w:lang w:val="tr-TR" w:eastAsia="tr-TR"/>
        </w:rPr>
        <w:t xml:space="preserve">). Anjiogenezi uyaran ve inhibe eden faktörler arasındaki </w:t>
      </w:r>
      <w:proofErr w:type="gramStart"/>
      <w:r w:rsidRPr="00392ED6">
        <w:rPr>
          <w:bCs/>
          <w:color w:val="000000"/>
          <w:lang w:val="tr-TR" w:eastAsia="tr-TR"/>
        </w:rPr>
        <w:t>stabil</w:t>
      </w:r>
      <w:proofErr w:type="gramEnd"/>
      <w:r w:rsidRPr="00392ED6">
        <w:rPr>
          <w:bCs/>
          <w:color w:val="000000"/>
          <w:lang w:val="tr-TR" w:eastAsia="tr-TR"/>
        </w:rPr>
        <w:t xml:space="preserve"> dengenin bozulması bu olayda temel rol oynamaktadır. Bir ya da birden fazla proanjiogenik büyüme </w:t>
      </w:r>
      <w:proofErr w:type="gramStart"/>
      <w:r w:rsidRPr="00392ED6">
        <w:rPr>
          <w:bCs/>
          <w:color w:val="000000"/>
          <w:lang w:val="tr-TR" w:eastAsia="tr-TR"/>
        </w:rPr>
        <w:t>faktörü  belirgin</w:t>
      </w:r>
      <w:proofErr w:type="gramEnd"/>
      <w:r w:rsidRPr="00392ED6">
        <w:rPr>
          <w:bCs/>
          <w:color w:val="000000"/>
          <w:lang w:val="tr-TR" w:eastAsia="tr-TR"/>
        </w:rPr>
        <w:t xml:space="preserve"> olarak aşırı salınım olmadıkça, tümör dokusunda büyümenin olmayacağı gösterilmiştir.  Anjiyogenezi uyarmak için yalnızca anjiyogenik faktörlerin artması yeterli olmayıp, aynı </w:t>
      </w:r>
      <w:proofErr w:type="gramStart"/>
      <w:r w:rsidRPr="00392ED6">
        <w:rPr>
          <w:bCs/>
          <w:color w:val="000000"/>
          <w:lang w:val="tr-TR" w:eastAsia="tr-TR"/>
        </w:rPr>
        <w:t>zamanda  anjiyogenez</w:t>
      </w:r>
      <w:proofErr w:type="gramEnd"/>
      <w:r w:rsidRPr="00392ED6">
        <w:rPr>
          <w:bCs/>
          <w:color w:val="000000"/>
          <w:lang w:val="tr-TR" w:eastAsia="tr-TR"/>
        </w:rPr>
        <w:t xml:space="preserve"> inhibitörlerinin de azalması gereklidir (28).</w:t>
      </w:r>
    </w:p>
    <w:p w:rsidR="00392ED6" w:rsidRPr="00392ED6" w:rsidRDefault="00392ED6" w:rsidP="00392ED6">
      <w:pPr>
        <w:spacing w:line="360" w:lineRule="auto"/>
        <w:jc w:val="both"/>
        <w:rPr>
          <w:rFonts w:ascii="Calibri" w:eastAsia="Calibri" w:hAnsi="Calibri" w:cs="Calibri"/>
          <w:b/>
          <w:sz w:val="22"/>
          <w:szCs w:val="22"/>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2.2.2. Vasküler Endotelyal Büyüme Faktörü (VEGF) ve Reseptörü Ailesi</w:t>
      </w:r>
    </w:p>
    <w:p w:rsidR="00392ED6" w:rsidRPr="00392ED6" w:rsidRDefault="00392ED6" w:rsidP="00392ED6">
      <w:pPr>
        <w:spacing w:line="360" w:lineRule="auto"/>
        <w:jc w:val="both"/>
        <w:rPr>
          <w:rFonts w:eastAsia="Calibri"/>
          <w:bCs/>
          <w:lang w:val="tr-TR" w:eastAsia="tr-TR"/>
        </w:rPr>
      </w:pPr>
      <w:r w:rsidRPr="00392ED6">
        <w:rPr>
          <w:rFonts w:eastAsia="Calibri"/>
          <w:b/>
          <w:bCs/>
          <w:lang w:val="tr-TR" w:eastAsia="tr-TR"/>
        </w:rPr>
        <w:tab/>
      </w:r>
      <w:proofErr w:type="gramStart"/>
      <w:r w:rsidRPr="00392ED6">
        <w:rPr>
          <w:rFonts w:eastAsia="Calibri"/>
          <w:bCs/>
          <w:lang w:val="tr-TR" w:eastAsia="tr-TR"/>
        </w:rPr>
        <w:t>VEGF  ailesi</w:t>
      </w:r>
      <w:proofErr w:type="gramEnd"/>
      <w:r w:rsidRPr="00392ED6">
        <w:rPr>
          <w:rFonts w:eastAsia="Calibri"/>
          <w:bCs/>
          <w:lang w:val="tr-TR" w:eastAsia="tr-TR"/>
        </w:rPr>
        <w:t xml:space="preserve"> VEGFA, VEGFB, VEGFC, VEGFD, VEGFE, plesental büyüme faktörü PGF-1 ve PGF-2’den oluşur. Bu moleküller 3 reseptöre bağlanarak etki gösterirler bunlar VEGFR1, </w:t>
      </w:r>
      <w:proofErr w:type="gramStart"/>
      <w:r w:rsidRPr="00392ED6">
        <w:rPr>
          <w:rFonts w:eastAsia="Calibri"/>
          <w:bCs/>
          <w:lang w:val="tr-TR" w:eastAsia="tr-TR"/>
        </w:rPr>
        <w:t>VEGFR2,</w:t>
      </w:r>
      <w:proofErr w:type="gramEnd"/>
      <w:r w:rsidRPr="00392ED6">
        <w:rPr>
          <w:rFonts w:eastAsia="Calibri"/>
          <w:bCs/>
          <w:lang w:val="tr-TR" w:eastAsia="tr-TR"/>
        </w:rPr>
        <w:t xml:space="preserve"> ve VEGFR3’tür (29,30). VEGFA sıklıkla VEGF olarak adlandırılır ve vasküler sistem gelişiminde önemli rol oynayan 45 kDa ağırlığında homodimerik bir glikoproteindir. VEGF esas olarak endotelyal hücrelerde </w:t>
      </w:r>
      <w:proofErr w:type="gramStart"/>
      <w:r w:rsidRPr="00392ED6">
        <w:rPr>
          <w:rFonts w:eastAsia="Calibri"/>
          <w:bCs/>
          <w:lang w:val="tr-TR" w:eastAsia="tr-TR"/>
        </w:rPr>
        <w:t>bulunan  transmembran</w:t>
      </w:r>
      <w:proofErr w:type="gramEnd"/>
      <w:r w:rsidRPr="00392ED6">
        <w:rPr>
          <w:rFonts w:eastAsia="Calibri"/>
          <w:bCs/>
          <w:lang w:val="tr-TR" w:eastAsia="tr-TR"/>
        </w:rPr>
        <w:t xml:space="preserve"> tirozin kinaz reseptörleri olan VEGFR1/FLT1 (fms benzeri triozin kinaz-1), VEGFR2/FLK1/KDR (fetal liver kinaz-1/kinaz bağlanma bölgesi), ve VEGFR3/FLT4 (fms benzeri tirozin kinaz-4)’e bağlanır (31). VEGF’nin reseptörlerine bağlanması reseptörde dimerizasyona ve bu da tirozin fosforilasyonuna yol açarak endotelyal hücrelerde </w:t>
      </w:r>
      <w:proofErr w:type="gramStart"/>
      <w:r w:rsidRPr="00392ED6">
        <w:rPr>
          <w:rFonts w:eastAsia="Calibri"/>
          <w:bCs/>
          <w:lang w:val="tr-TR" w:eastAsia="tr-TR"/>
        </w:rPr>
        <w:t>bir çok</w:t>
      </w:r>
      <w:proofErr w:type="gramEnd"/>
      <w:r w:rsidRPr="00392ED6">
        <w:rPr>
          <w:rFonts w:eastAsia="Calibri"/>
          <w:bCs/>
          <w:lang w:val="tr-TR" w:eastAsia="tr-TR"/>
        </w:rPr>
        <w:t xml:space="preserve"> proteinin uyarılmasına yol açar. VEGF ürokinaz, doku tipi plasminojen aktivatörü, plazminojen aktivatör-1 ve matriks metaloproteinaz gibi proteinleri uyarır ve hücre yüzeyinde bulunan VEGFR1 ve VEGFR2’ye de bağlanarak tümör büyümesi ve tümör metastazını uyaran birçok apoptotik maddelerin ekspresyonuna neden olur (32). VEGF’nin birçok tümörde aşırı ekspresyonu gösterilmiştir (33,34) ve bu aşırı ekspresyon VEGF’nin plazma seviyelerinde artış ve bu durum da kötü prognozla ilişkili olarak bulunmuştur (35-37). VEGF insan </w:t>
      </w:r>
      <w:proofErr w:type="gramStart"/>
      <w:r w:rsidRPr="00392ED6">
        <w:rPr>
          <w:rFonts w:eastAsia="Calibri"/>
          <w:bCs/>
          <w:lang w:val="tr-TR" w:eastAsia="tr-TR"/>
        </w:rPr>
        <w:t>vucudunda  yaygın</w:t>
      </w:r>
      <w:proofErr w:type="gramEnd"/>
      <w:r w:rsidRPr="00392ED6">
        <w:rPr>
          <w:rFonts w:eastAsia="Calibri"/>
          <w:bCs/>
          <w:lang w:val="tr-TR" w:eastAsia="tr-TR"/>
        </w:rPr>
        <w:t xml:space="preserve"> olarak bulunan </w:t>
      </w:r>
      <w:r w:rsidRPr="00392ED6">
        <w:rPr>
          <w:rFonts w:eastAsia="Calibri"/>
          <w:bCs/>
          <w:lang w:val="tr-TR" w:eastAsia="tr-TR"/>
        </w:rPr>
        <w:lastRenderedPageBreak/>
        <w:t xml:space="preserve">endotel hücreleri için mitojen aktiviteye sahip bir molekül grubudur. Endotelyal hücrelerin göç aktivitesini de uyararak anjiogenezde ana rol alır. Normal şartlarda yara iyileşmesi ve menstrüel siklüste endometriyal proliferasyon için gerekli olan bu molekül bazı hastalık durumlarında da yararlı olabilmektedir. Örneğin miyokardiyal iskemi durumunda veya </w:t>
      </w:r>
      <w:proofErr w:type="gramStart"/>
      <w:r w:rsidRPr="00392ED6">
        <w:rPr>
          <w:rFonts w:eastAsia="Calibri"/>
          <w:bCs/>
          <w:lang w:val="tr-TR" w:eastAsia="tr-TR"/>
        </w:rPr>
        <w:t>ekstremite  iskemilerinde</w:t>
      </w:r>
      <w:proofErr w:type="gramEnd"/>
      <w:r w:rsidRPr="00392ED6">
        <w:rPr>
          <w:rFonts w:eastAsia="Calibri"/>
          <w:bCs/>
          <w:lang w:val="tr-TR" w:eastAsia="tr-TR"/>
        </w:rPr>
        <w:t xml:space="preserve"> kollateral damar oluşumunda aktif rol alır (38,39). VEGF’nin endotel hücreleri üzerindeki proliferatif ve migratuar etkilerinin yanında, kemik iliğinden endotelyal progenitör hücrelerin periferik kan dolaşımına salınmasında da önemli rol oynar  (40). Bunun yanında, VEGF’nin endotel hücreleri üzerinde onları apopitoza karşı koruyucu etkisi de mevcuttur. VEGF’nin bunlar dışında bir etkisi de NO salınımını ve NO aracılı vazodilatasyonu uyararak kan basıncında düşüş sağlamasıdır (41,42). </w:t>
      </w:r>
    </w:p>
    <w:p w:rsidR="00392ED6" w:rsidRPr="00392ED6" w:rsidRDefault="00392ED6" w:rsidP="00392ED6">
      <w:pPr>
        <w:spacing w:line="360" w:lineRule="auto"/>
        <w:ind w:firstLine="708"/>
        <w:jc w:val="both"/>
        <w:rPr>
          <w:rFonts w:eastAsia="Calibri"/>
          <w:bCs/>
          <w:lang w:val="tr-TR" w:eastAsia="tr-TR"/>
        </w:rPr>
      </w:pPr>
      <w:r w:rsidRPr="00392ED6">
        <w:rPr>
          <w:rFonts w:eastAsia="Calibri"/>
          <w:bCs/>
          <w:lang w:val="tr-TR" w:eastAsia="tr-TR"/>
        </w:rPr>
        <w:t xml:space="preserve">Tüm bu pozitif fizyolojik etkilerinin </w:t>
      </w:r>
      <w:proofErr w:type="gramStart"/>
      <w:r w:rsidRPr="00392ED6">
        <w:rPr>
          <w:rFonts w:eastAsia="Calibri"/>
          <w:bCs/>
          <w:lang w:val="tr-TR" w:eastAsia="tr-TR"/>
        </w:rPr>
        <w:t>yanısıra,VEGF</w:t>
      </w:r>
      <w:proofErr w:type="gramEnd"/>
      <w:r w:rsidRPr="00392ED6">
        <w:rPr>
          <w:rFonts w:eastAsia="Calibri"/>
          <w:bCs/>
          <w:lang w:val="tr-TR" w:eastAsia="tr-TR"/>
        </w:rPr>
        <w:t xml:space="preserve"> tümör biyolojisinde de aktif rol alan bir moleküldür. Yapılan araştırmalarda solid tümörlerin büyüme ve metastaz aşamalarının tümünde </w:t>
      </w:r>
      <w:proofErr w:type="gramStart"/>
      <w:r w:rsidRPr="00392ED6">
        <w:rPr>
          <w:rFonts w:eastAsia="Calibri"/>
          <w:bCs/>
          <w:lang w:val="tr-TR" w:eastAsia="tr-TR"/>
        </w:rPr>
        <w:t>VEGF  bağımlı</w:t>
      </w:r>
      <w:proofErr w:type="gramEnd"/>
      <w:r w:rsidRPr="00392ED6">
        <w:rPr>
          <w:rFonts w:eastAsia="Calibri"/>
          <w:bCs/>
          <w:lang w:val="tr-TR" w:eastAsia="tr-TR"/>
        </w:rPr>
        <w:t xml:space="preserve"> mekanizmalarında etkili olduğu görülmüştür. VEGF’ye ait mRNA’ların hem tümör hücrelerinde arttığı hem de tümöre komşu endotel hücrelerinde VEGF reseptörlerine ait mRNA’larının arttığı gösterilerek; tümör anjiogenezi, tümör büyümesi ve hematojen yolla yayılmasında VEGF’nin önemli rolü olduğu belirlenmiştir. Tümörogenez dışında </w:t>
      </w:r>
      <w:proofErr w:type="gramStart"/>
      <w:r w:rsidRPr="00392ED6">
        <w:rPr>
          <w:rFonts w:eastAsia="Calibri"/>
          <w:bCs/>
          <w:lang w:val="tr-TR" w:eastAsia="tr-TR"/>
        </w:rPr>
        <w:t>VEGF’nin  patolojik</w:t>
      </w:r>
      <w:proofErr w:type="gramEnd"/>
      <w:r w:rsidRPr="00392ED6">
        <w:rPr>
          <w:rFonts w:eastAsia="Calibri"/>
          <w:bCs/>
          <w:lang w:val="tr-TR" w:eastAsia="tr-TR"/>
        </w:rPr>
        <w:t xml:space="preserve"> neoanjiogenez olarak sınıflandırılan bazı oküler hastalıklarda da oluşan retinal yeni damarların artmış VEGF ekspresyonuyla ilişkili olduğu gösterilmiştir ve bu tip hastalıkların güncel tedavisinde  anti VEGF ilaçlar denenmektedir (43). Bunun dışında </w:t>
      </w:r>
      <w:proofErr w:type="gramStart"/>
      <w:r w:rsidRPr="00392ED6">
        <w:rPr>
          <w:rFonts w:eastAsia="Calibri"/>
          <w:bCs/>
          <w:lang w:val="tr-TR" w:eastAsia="tr-TR"/>
        </w:rPr>
        <w:t>yine  romatoid</w:t>
      </w:r>
      <w:proofErr w:type="gramEnd"/>
      <w:r w:rsidRPr="00392ED6">
        <w:rPr>
          <w:rFonts w:eastAsia="Calibri"/>
          <w:bCs/>
          <w:lang w:val="tr-TR" w:eastAsia="tr-TR"/>
        </w:rPr>
        <w:t xml:space="preserve"> artrit (44), psöriazis (45) ve kontakt dermatitte VEGF’nin etkili olduğu gösterilmiştir (46). </w:t>
      </w:r>
    </w:p>
    <w:p w:rsidR="00392ED6" w:rsidRPr="00392ED6" w:rsidRDefault="00392ED6" w:rsidP="00392ED6">
      <w:pPr>
        <w:spacing w:line="360" w:lineRule="auto"/>
        <w:ind w:firstLine="708"/>
        <w:jc w:val="both"/>
        <w:rPr>
          <w:rFonts w:eastAsia="Calibri"/>
          <w:bCs/>
          <w:lang w:val="tr-TR" w:eastAsia="tr-TR"/>
        </w:rPr>
      </w:pPr>
    </w:p>
    <w:p w:rsidR="00392ED6" w:rsidRPr="00392ED6" w:rsidRDefault="00392ED6" w:rsidP="00392ED6">
      <w:pPr>
        <w:spacing w:line="360" w:lineRule="auto"/>
        <w:jc w:val="both"/>
        <w:rPr>
          <w:rFonts w:eastAsia="Calibri"/>
          <w:bCs/>
          <w:lang w:val="tr-TR" w:eastAsia="tr-TR"/>
        </w:rPr>
      </w:pPr>
      <w:r w:rsidRPr="00392ED6">
        <w:rPr>
          <w:rFonts w:eastAsia="Calibri"/>
          <w:b/>
          <w:bCs/>
          <w:lang w:val="tr-TR" w:eastAsia="tr-TR"/>
        </w:rPr>
        <w:t>2.2.3. Nitrik Oksit</w:t>
      </w:r>
    </w:p>
    <w:p w:rsidR="00392ED6" w:rsidRPr="00392ED6" w:rsidRDefault="00392ED6" w:rsidP="00392ED6">
      <w:pPr>
        <w:spacing w:line="360" w:lineRule="auto"/>
        <w:ind w:firstLine="708"/>
        <w:jc w:val="both"/>
        <w:rPr>
          <w:rFonts w:eastAsia="Calibri"/>
          <w:bCs/>
          <w:lang w:val="tr-TR" w:eastAsia="tr-TR"/>
        </w:rPr>
      </w:pPr>
      <w:r w:rsidRPr="00392ED6">
        <w:rPr>
          <w:rFonts w:eastAsia="Calibri"/>
          <w:bCs/>
          <w:lang w:val="tr-TR" w:eastAsia="tr-TR"/>
        </w:rPr>
        <w:t>İlk defa 1979 yılında gösterilen ve Endotel kaynaklı gevşetici faktör (EDRF) olarak adlandırılan molekülün vasküler yapıların düz kas hücrelerinde relaksasyon yaptığı saptanmıştır. Daha sonra yapılan araştırmalarda bu molekülün nitrik oksitle aynı molekül oduğu anlaşılmıştır. Moleküler yapısının küçük olması, lipofilik özellikte olması ve etkisinin kısa süreli olması nedeniyle ideal bir intraselüler ve transselüler mesaj iletici moleküldür (47).</w:t>
      </w:r>
    </w:p>
    <w:p w:rsidR="00392ED6" w:rsidRPr="00392ED6" w:rsidRDefault="00392ED6" w:rsidP="00392ED6">
      <w:pPr>
        <w:spacing w:line="360" w:lineRule="auto"/>
        <w:ind w:firstLine="708"/>
        <w:jc w:val="both"/>
        <w:rPr>
          <w:rFonts w:eastAsia="Calibri"/>
          <w:bCs/>
          <w:lang w:val="tr-TR" w:eastAsia="tr-TR"/>
        </w:rPr>
      </w:pPr>
      <w:r w:rsidRPr="00392ED6">
        <w:rPr>
          <w:rFonts w:eastAsia="Calibri"/>
          <w:bCs/>
          <w:lang w:val="tr-TR" w:eastAsia="tr-TR"/>
        </w:rPr>
        <w:t xml:space="preserve">Endotel hücreleri kan basıncı regülasyonunda vasküler tonusun ayarlanması </w:t>
      </w:r>
      <w:proofErr w:type="gramStart"/>
      <w:r w:rsidRPr="00392ED6">
        <w:rPr>
          <w:rFonts w:eastAsia="Calibri"/>
          <w:bCs/>
          <w:lang w:val="tr-TR" w:eastAsia="tr-TR"/>
        </w:rPr>
        <w:t>için  bir</w:t>
      </w:r>
      <w:proofErr w:type="gramEnd"/>
      <w:r w:rsidRPr="00392ED6">
        <w:rPr>
          <w:rFonts w:eastAsia="Calibri"/>
          <w:bCs/>
          <w:lang w:val="tr-TR" w:eastAsia="tr-TR"/>
        </w:rPr>
        <w:t xml:space="preserve"> miktar vazodilatör ve vazokonstriktör substratlar salar. Nitrik oksit endotel tarafından salınan ana vazodilatör maddelerden birisidir. NO’nun hipertansiyonun patogenezi ve tedavisinde rol oynaması dışında yapılan birçok araştırmada VEGF’ye bağlı olarak salınımında artış olduğu gösterilmiştir (48-85).</w:t>
      </w:r>
    </w:p>
    <w:p w:rsidR="00392ED6" w:rsidRPr="00392ED6" w:rsidRDefault="00392ED6" w:rsidP="00392ED6">
      <w:pPr>
        <w:spacing w:line="360" w:lineRule="auto"/>
        <w:ind w:firstLine="708"/>
        <w:jc w:val="both"/>
        <w:rPr>
          <w:rFonts w:eastAsia="Calibri"/>
          <w:b/>
          <w:bCs/>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lastRenderedPageBreak/>
        <w:t>2.2.4 Renin-Anjiyotensin-Aldosteron Sistemi (RAS)</w:t>
      </w:r>
    </w:p>
    <w:p w:rsidR="00392ED6" w:rsidRPr="00392ED6" w:rsidRDefault="00392ED6" w:rsidP="00392ED6">
      <w:pPr>
        <w:spacing w:line="360" w:lineRule="auto"/>
        <w:jc w:val="both"/>
        <w:rPr>
          <w:rFonts w:eastAsia="Calibri"/>
          <w:bCs/>
          <w:lang w:val="tr-TR" w:eastAsia="tr-TR"/>
        </w:rPr>
      </w:pPr>
      <w:r w:rsidRPr="00392ED6">
        <w:rPr>
          <w:rFonts w:eastAsia="Calibri"/>
          <w:bCs/>
          <w:lang w:val="tr-TR" w:eastAsia="tr-TR"/>
        </w:rPr>
        <w:t xml:space="preserve">               RAS; fizyolojik homeostatik birçok olayda önemli rol oynayan bir nöroendokrin sistemdir. Vücutta özellikle su-elektrolit dengesinin, kan hacminin ve arter kan basıncının düzenlenmesinde ve bu değerlerlerin fizyolojik düzeylerde devamının sağlanmasında görev alır (</w:t>
      </w:r>
      <w:r w:rsidRPr="00392ED6">
        <w:rPr>
          <w:rFonts w:eastAsia="Calibri"/>
          <w:b/>
          <w:bCs/>
          <w:lang w:val="tr-TR" w:eastAsia="tr-TR"/>
        </w:rPr>
        <w:t>Şekil.3</w:t>
      </w:r>
      <w:r w:rsidRPr="00392ED6">
        <w:rPr>
          <w:rFonts w:eastAsia="Calibri"/>
          <w:bCs/>
          <w:lang w:val="tr-TR" w:eastAsia="tr-TR"/>
        </w:rPr>
        <w:t>) (49).</w:t>
      </w:r>
    </w:p>
    <w:p w:rsidR="00392ED6" w:rsidRPr="00392ED6" w:rsidRDefault="00392ED6" w:rsidP="00392ED6">
      <w:pPr>
        <w:spacing w:line="360" w:lineRule="auto"/>
        <w:jc w:val="both"/>
        <w:rPr>
          <w:rFonts w:eastAsia="Calibri"/>
          <w:bCs/>
          <w:lang w:val="tr-TR" w:eastAsia="tr-TR"/>
        </w:rPr>
      </w:pPr>
      <w:r>
        <w:rPr>
          <w:rFonts w:eastAsia="Calibri"/>
          <w:noProof/>
          <w:lang w:val="tr-TR" w:eastAsia="tr-TR"/>
        </w:rPr>
        <w:drawing>
          <wp:inline distT="0" distB="0" distL="0" distR="0">
            <wp:extent cx="4800600" cy="2760345"/>
            <wp:effectExtent l="0" t="0" r="0" b="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2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00600" cy="2760345"/>
                    </a:xfrm>
                    <a:prstGeom prst="rect">
                      <a:avLst/>
                    </a:prstGeom>
                    <a:noFill/>
                    <a:ln>
                      <a:noFill/>
                    </a:ln>
                  </pic:spPr>
                </pic:pic>
              </a:graphicData>
            </a:graphic>
          </wp:inline>
        </w:drawing>
      </w:r>
    </w:p>
    <w:p w:rsidR="00392ED6" w:rsidRPr="00392ED6" w:rsidRDefault="00392ED6" w:rsidP="00392ED6">
      <w:pPr>
        <w:spacing w:line="360" w:lineRule="auto"/>
        <w:jc w:val="both"/>
        <w:rPr>
          <w:rFonts w:eastAsia="Calibri"/>
          <w:bCs/>
          <w:lang w:val="tr-TR" w:eastAsia="tr-TR"/>
        </w:rPr>
      </w:pPr>
    </w:p>
    <w:p w:rsidR="00392ED6" w:rsidRPr="00392ED6" w:rsidRDefault="00E36B30" w:rsidP="00392ED6">
      <w:pPr>
        <w:spacing w:line="360" w:lineRule="auto"/>
        <w:jc w:val="both"/>
        <w:rPr>
          <w:b/>
          <w:bCs/>
          <w:color w:val="000000"/>
          <w:lang w:val="tr-TR" w:eastAsia="tr-TR"/>
        </w:rPr>
      </w:pPr>
      <w:r>
        <w:rPr>
          <w:b/>
          <w:bCs/>
          <w:color w:val="000000"/>
          <w:lang w:val="tr-TR" w:eastAsia="tr-TR"/>
        </w:rPr>
        <w:t>Şekil.2 Renin Anj</w:t>
      </w:r>
      <w:r w:rsidR="00392ED6" w:rsidRPr="00392ED6">
        <w:rPr>
          <w:b/>
          <w:bCs/>
          <w:color w:val="000000"/>
          <w:lang w:val="tr-TR" w:eastAsia="tr-TR"/>
        </w:rPr>
        <w:t>i</w:t>
      </w:r>
      <w:r>
        <w:rPr>
          <w:b/>
          <w:bCs/>
          <w:color w:val="000000"/>
          <w:lang w:val="tr-TR" w:eastAsia="tr-TR"/>
        </w:rPr>
        <w:t>y</w:t>
      </w:r>
      <w:bookmarkStart w:id="0" w:name="_GoBack"/>
      <w:bookmarkEnd w:id="0"/>
      <w:r w:rsidR="00392ED6" w:rsidRPr="00392ED6">
        <w:rPr>
          <w:b/>
          <w:bCs/>
          <w:color w:val="000000"/>
          <w:lang w:val="tr-TR" w:eastAsia="tr-TR"/>
        </w:rPr>
        <w:t>otensin Aldosteron Sistemi (107)</w:t>
      </w:r>
    </w:p>
    <w:p w:rsidR="00392ED6" w:rsidRPr="00392ED6" w:rsidRDefault="00392ED6" w:rsidP="00392ED6">
      <w:pPr>
        <w:spacing w:line="360" w:lineRule="auto"/>
        <w:ind w:firstLine="708"/>
        <w:jc w:val="both"/>
        <w:rPr>
          <w:rFonts w:eastAsia="Calibri"/>
          <w:bCs/>
          <w:lang w:val="tr-TR" w:eastAsia="tr-TR"/>
        </w:rPr>
      </w:pPr>
      <w:r w:rsidRPr="00392ED6">
        <w:rPr>
          <w:rFonts w:eastAsia="Calibri"/>
          <w:bCs/>
          <w:lang w:val="tr-TR" w:eastAsia="tr-TR"/>
        </w:rPr>
        <w:t xml:space="preserve">   RAS oldukça birbiriyle ilişkili değişik işlevleri olan çeşitli moleküler maddelerden oluşur. Bu kaskatda </w:t>
      </w:r>
      <w:proofErr w:type="gramStart"/>
      <w:r w:rsidRPr="00392ED6">
        <w:rPr>
          <w:rFonts w:eastAsia="Calibri"/>
          <w:bCs/>
          <w:lang w:val="tr-TR" w:eastAsia="tr-TR"/>
        </w:rPr>
        <w:t>yer  alan</w:t>
      </w:r>
      <w:proofErr w:type="gramEnd"/>
      <w:r w:rsidRPr="00392ED6">
        <w:rPr>
          <w:rFonts w:eastAsia="Calibri"/>
          <w:bCs/>
          <w:lang w:val="tr-TR" w:eastAsia="tr-TR"/>
        </w:rPr>
        <w:t xml:space="preserve">  elemanlar renin, anjiyotensinojen, anjiyotensinler ve anjiyotensin reseptörleridir. Bunlar arasında Ang II, RAS sisteminin en önemli hormonu olarak bilinmektedir. RAS sisteminin ana yolağında yer alan renin böbreklerden salınmakta ve kan basıncını yükselmesiyle sonuçlanan bir dizi olaya yol açmaktadır. Bu olayların başında anjiyotensinojenin anjiyotensin I’e dönüşümü gelir. Reninin başlıca salındığı yer böbrekler olmakla birlikte bunun yanında beyin, kan damarları, böbreküstü bezi ve genital sistemde de bulunur. Anjiotensinojen, Ang I’in öncül maddesidir ve büyük çoğunluğu karaciğerden sentezlenir. Anjiyotensinler peptid yapıda hormonlardır ve en önemli üretim yolları angiotensinojenin renin ve daha sonra angiotensin dönüştürücü enzim ile katabolize edilmesidir.  Bu katabolik işlem sonucu ortaya </w:t>
      </w:r>
      <w:proofErr w:type="gramStart"/>
      <w:r w:rsidRPr="00392ED6">
        <w:rPr>
          <w:rFonts w:eastAsia="Calibri"/>
          <w:bCs/>
          <w:lang w:val="tr-TR" w:eastAsia="tr-TR"/>
        </w:rPr>
        <w:t>çıkan  anjiyotensin</w:t>
      </w:r>
      <w:proofErr w:type="gramEnd"/>
      <w:r w:rsidRPr="00392ED6">
        <w:rPr>
          <w:rFonts w:eastAsia="Calibri"/>
          <w:bCs/>
          <w:lang w:val="tr-TR" w:eastAsia="tr-TR"/>
        </w:rPr>
        <w:t xml:space="preserve"> II hedef dokular üzerinde etki gösteren hormonal yapıdır. Temel fonksiyonu, vasküler düz kas hücrelerinde kontraksiyona yol açarak kan basıncını yükseltmek olmakla birlikte değişik organ ve sitemlerde farklı etkinlik gösterebilmektedir (50). Genel olarak böbrekler üzerinde vasküler yapılarda vazokonstriksiyon </w:t>
      </w:r>
      <w:proofErr w:type="gramStart"/>
      <w:r w:rsidRPr="00392ED6">
        <w:rPr>
          <w:rFonts w:eastAsia="Calibri"/>
          <w:bCs/>
          <w:lang w:val="tr-TR" w:eastAsia="tr-TR"/>
        </w:rPr>
        <w:t>yaparak  renal</w:t>
      </w:r>
      <w:proofErr w:type="gramEnd"/>
      <w:r w:rsidRPr="00392ED6">
        <w:rPr>
          <w:rFonts w:eastAsia="Calibri"/>
          <w:bCs/>
          <w:lang w:val="tr-TR" w:eastAsia="tr-TR"/>
        </w:rPr>
        <w:t xml:space="preserve"> kan akımını hem de glomerüler filtrasyon hızını düşürür ve sonuçta kan basıncını yükselmesi yönünde etki eder. Kardiyovasküler sistem </w:t>
      </w:r>
      <w:r w:rsidRPr="00392ED6">
        <w:rPr>
          <w:rFonts w:eastAsia="Calibri"/>
          <w:bCs/>
          <w:lang w:val="tr-TR" w:eastAsia="tr-TR"/>
        </w:rPr>
        <w:lastRenderedPageBreak/>
        <w:t>üzerindeki ana etkisi de vazokonstriksiyonladır arteriyoller üzerinden kan basıncının artmasına yol açar. Ayrıca Ang II kinin kallikrein sistemini etkileyerek bradikinin üzerinden vasküler geçirgenliği artırır, düz kaslarda kasılmaya yol açar ve inflamasyonda ağrı duyusundan sorumludur. Ang II merkezi sinir sistemini de etkileyerek hipotalamustaki susama merkezini uyarır ve vucutta sıvı ve NaCl dengesine etki etmiş olur.</w:t>
      </w:r>
    </w:p>
    <w:p w:rsidR="00392ED6" w:rsidRPr="00392ED6" w:rsidRDefault="00392ED6" w:rsidP="00392ED6">
      <w:pPr>
        <w:spacing w:line="360" w:lineRule="auto"/>
        <w:ind w:firstLine="708"/>
        <w:jc w:val="both"/>
        <w:rPr>
          <w:rFonts w:eastAsia="Calibri"/>
          <w:bCs/>
          <w:lang w:val="tr-TR" w:eastAsia="tr-TR"/>
        </w:rPr>
      </w:pPr>
      <w:r w:rsidRPr="00392ED6">
        <w:rPr>
          <w:rFonts w:eastAsia="Calibri"/>
          <w:bCs/>
          <w:lang w:val="tr-TR" w:eastAsia="tr-TR"/>
        </w:rPr>
        <w:t xml:space="preserve">RAS sıklıkla kardiyovasküler hemostazla ilgili görünmesine karşın günümüzde yapılan çalışmalar RAS’ın anjiogenez, hücresel proliferasyon, apopitozis ve inflamasyon </w:t>
      </w:r>
      <w:proofErr w:type="gramStart"/>
      <w:r w:rsidRPr="00392ED6">
        <w:rPr>
          <w:rFonts w:eastAsia="Calibri"/>
          <w:bCs/>
          <w:lang w:val="tr-TR" w:eastAsia="tr-TR"/>
        </w:rPr>
        <w:t>ile   ilişkisini</w:t>
      </w:r>
      <w:proofErr w:type="gramEnd"/>
      <w:r w:rsidRPr="00392ED6">
        <w:rPr>
          <w:rFonts w:eastAsia="Calibri"/>
          <w:bCs/>
          <w:lang w:val="tr-TR" w:eastAsia="tr-TR"/>
        </w:rPr>
        <w:t xml:space="preserve"> ortaya koymaktadır  (51).  RAS elemanları erişkin karaciğer böbrek pankreas beyin ve üreme organlarında üretilmektedirler. RAS’ın tümorogenez üzerinde de önemli rol oynadığı gösterilmiştir (52). RAS, anjiogenez ve sellüler proliferasyonu arttırıp azaltabilir böylece tümör damarlanması, büyümesi ve metastazı desteklenir veya engellenir (</w:t>
      </w:r>
      <w:proofErr w:type="gramStart"/>
      <w:r w:rsidRPr="00392ED6">
        <w:rPr>
          <w:rFonts w:eastAsia="Calibri"/>
          <w:bCs/>
          <w:lang w:val="tr-TR" w:eastAsia="tr-TR"/>
        </w:rPr>
        <w:t>53,54,55</w:t>
      </w:r>
      <w:proofErr w:type="gramEnd"/>
      <w:r w:rsidRPr="00392ED6">
        <w:rPr>
          <w:rFonts w:eastAsia="Calibri"/>
          <w:bCs/>
          <w:lang w:val="tr-TR" w:eastAsia="tr-TR"/>
        </w:rPr>
        <w:t>). RAS elemanları beyin, akciğer, pankreas, meme, prostat, kolon, cilt ve servikal karsinom gibi birtakım kanserlerde malign olmayan dokularıyla karşılaştırıldığında sıklıkla yüksek oranlarda sentez edilmektedirler (51).</w:t>
      </w:r>
    </w:p>
    <w:p w:rsidR="00392ED6" w:rsidRPr="00392ED6" w:rsidRDefault="00392ED6" w:rsidP="00392ED6">
      <w:pPr>
        <w:spacing w:line="360" w:lineRule="auto"/>
        <w:jc w:val="both"/>
        <w:rPr>
          <w:rFonts w:eastAsia="Calibri"/>
          <w:bCs/>
          <w:lang w:val="tr-TR" w:eastAsia="tr-TR"/>
        </w:rPr>
      </w:pPr>
      <w:r w:rsidRPr="00392ED6">
        <w:rPr>
          <w:rFonts w:eastAsia="Calibri"/>
          <w:bCs/>
          <w:lang w:val="tr-TR" w:eastAsia="tr-TR"/>
        </w:rPr>
        <w:t xml:space="preserve">           ANG II; VEGF (54-57)  anjiopoietin 2, </w:t>
      </w:r>
      <w:r w:rsidRPr="00392ED6">
        <w:rPr>
          <w:rFonts w:eastAsia="Calibri"/>
          <w:bCs/>
          <w:iCs/>
          <w:lang w:val="tr-TR" w:eastAsia="tr-TR"/>
        </w:rPr>
        <w:t>basic fibroblast büyüme faktörü</w:t>
      </w:r>
      <w:r w:rsidRPr="00392ED6">
        <w:rPr>
          <w:rFonts w:eastAsia="Calibri"/>
          <w:bCs/>
          <w:lang w:val="tr-TR" w:eastAsia="tr-TR"/>
        </w:rPr>
        <w:t xml:space="preserve"> (</w:t>
      </w:r>
      <w:r w:rsidRPr="00392ED6">
        <w:rPr>
          <w:rFonts w:eastAsia="Calibri"/>
          <w:bCs/>
          <w:iCs/>
          <w:lang w:val="tr-TR" w:eastAsia="tr-TR"/>
        </w:rPr>
        <w:t>b-FGF</w:t>
      </w:r>
      <w:r w:rsidRPr="00392ED6">
        <w:rPr>
          <w:rFonts w:eastAsia="Calibri"/>
          <w:bCs/>
          <w:lang w:val="tr-TR" w:eastAsia="tr-TR"/>
        </w:rPr>
        <w:t xml:space="preserve">) ve </w:t>
      </w:r>
      <w:r w:rsidRPr="00392ED6">
        <w:rPr>
          <w:rFonts w:eastAsia="Calibri"/>
          <w:bCs/>
          <w:iCs/>
          <w:lang w:val="tr-TR" w:eastAsia="tr-TR"/>
        </w:rPr>
        <w:t>platelet-türevi büyüme faktörü</w:t>
      </w:r>
      <w:r w:rsidRPr="00392ED6">
        <w:rPr>
          <w:rFonts w:eastAsia="Calibri"/>
          <w:bCs/>
          <w:lang w:val="tr-TR" w:eastAsia="tr-TR"/>
        </w:rPr>
        <w:t xml:space="preserve"> (</w:t>
      </w:r>
      <w:r w:rsidRPr="00392ED6">
        <w:rPr>
          <w:rFonts w:eastAsia="Calibri"/>
          <w:bCs/>
          <w:iCs/>
          <w:lang w:val="tr-TR" w:eastAsia="tr-TR"/>
        </w:rPr>
        <w:t>PDGF</w:t>
      </w:r>
      <w:r w:rsidRPr="00392ED6">
        <w:rPr>
          <w:rFonts w:eastAsia="Calibri"/>
          <w:bCs/>
          <w:lang w:val="tr-TR" w:eastAsia="tr-TR"/>
        </w:rPr>
        <w:t xml:space="preserve">) gibi birtakım pro-anjiojenik molekül ve büyüme faktörünün salınımını arttırır.  RAS </w:t>
      </w:r>
      <w:proofErr w:type="gramStart"/>
      <w:r w:rsidRPr="00392ED6">
        <w:rPr>
          <w:rFonts w:eastAsia="Calibri"/>
          <w:bCs/>
          <w:lang w:val="tr-TR" w:eastAsia="tr-TR"/>
        </w:rPr>
        <w:t>blokajı</w:t>
      </w:r>
      <w:proofErr w:type="gramEnd"/>
      <w:r w:rsidRPr="00392ED6">
        <w:rPr>
          <w:rFonts w:eastAsia="Calibri"/>
          <w:bCs/>
          <w:lang w:val="tr-TR" w:eastAsia="tr-TR"/>
        </w:rPr>
        <w:t xml:space="preserve"> başlıca anjiojenik faktör olan VEGF salınımında azalma ile ilişkilidir (58).</w:t>
      </w:r>
    </w:p>
    <w:p w:rsidR="00392ED6" w:rsidRPr="00392ED6" w:rsidRDefault="00392ED6" w:rsidP="00392ED6">
      <w:pPr>
        <w:spacing w:line="360" w:lineRule="auto"/>
        <w:jc w:val="both"/>
        <w:rPr>
          <w:rFonts w:eastAsia="Calibri"/>
          <w:b/>
          <w:bCs/>
          <w:lang w:val="tr-TR" w:eastAsia="tr-TR"/>
        </w:rPr>
      </w:pPr>
      <w:r w:rsidRPr="00392ED6">
        <w:rPr>
          <w:rFonts w:eastAsia="Calibri"/>
          <w:bCs/>
          <w:lang w:val="tr-TR" w:eastAsia="tr-TR"/>
        </w:rPr>
        <w:tab/>
        <w:t>Tümörün boyutu tümör hücre proliferasyonu ve neoanjiogeneze bağlıdır. Her iki olayda angiotensin dönüştürücü enzim (ACE) tarafından aktive edilir çünkü tümör hücreleri ve tümör damarları tarafından ACE salınımı artmaktadır (59).</w:t>
      </w:r>
    </w:p>
    <w:p w:rsidR="00392ED6" w:rsidRPr="00392ED6" w:rsidRDefault="00392ED6" w:rsidP="00392ED6">
      <w:pPr>
        <w:spacing w:line="360" w:lineRule="auto"/>
        <w:jc w:val="both"/>
        <w:rPr>
          <w:rFonts w:eastAsia="Calibri"/>
          <w:bCs/>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2.2.5. Antianjiyojenik Tedavi</w:t>
      </w:r>
    </w:p>
    <w:p w:rsidR="00392ED6" w:rsidRPr="00392ED6" w:rsidRDefault="00392ED6" w:rsidP="00392ED6">
      <w:pPr>
        <w:spacing w:line="360" w:lineRule="auto"/>
        <w:jc w:val="both"/>
        <w:rPr>
          <w:rFonts w:eastAsia="Calibri"/>
          <w:bCs/>
          <w:lang w:val="tr-TR" w:eastAsia="tr-TR"/>
        </w:rPr>
      </w:pPr>
      <w:r w:rsidRPr="00392ED6">
        <w:rPr>
          <w:rFonts w:eastAsia="Calibri"/>
          <w:bCs/>
          <w:lang w:val="tr-TR" w:eastAsia="tr-TR"/>
        </w:rPr>
        <w:tab/>
        <w:t xml:space="preserve">Güncel tıpta VEGF ve anjiyogenezi inhibe eden </w:t>
      </w:r>
      <w:proofErr w:type="gramStart"/>
      <w:r w:rsidRPr="00392ED6">
        <w:rPr>
          <w:rFonts w:eastAsia="Calibri"/>
          <w:bCs/>
          <w:lang w:val="tr-TR" w:eastAsia="tr-TR"/>
        </w:rPr>
        <w:t>bir çok</w:t>
      </w:r>
      <w:proofErr w:type="gramEnd"/>
      <w:r w:rsidRPr="00392ED6">
        <w:rPr>
          <w:rFonts w:eastAsia="Calibri"/>
          <w:bCs/>
          <w:lang w:val="tr-TR" w:eastAsia="tr-TR"/>
        </w:rPr>
        <w:t xml:space="preserve"> molekül çalışılmaktadır. Bu moleküllerde hedef olarak VEGF ve VEGF reseptörlerine karşı nötralize edici monoklonal </w:t>
      </w:r>
      <w:proofErr w:type="gramStart"/>
      <w:r w:rsidRPr="00392ED6">
        <w:rPr>
          <w:rFonts w:eastAsia="Calibri"/>
          <w:bCs/>
          <w:lang w:val="tr-TR" w:eastAsia="tr-TR"/>
        </w:rPr>
        <w:t>antikorlar ,  küçük</w:t>
      </w:r>
      <w:proofErr w:type="gramEnd"/>
      <w:r w:rsidRPr="00392ED6">
        <w:rPr>
          <w:rFonts w:eastAsia="Calibri"/>
          <w:bCs/>
          <w:lang w:val="tr-TR" w:eastAsia="tr-TR"/>
        </w:rPr>
        <w:t xml:space="preserve"> molekül VEGFR tirozinkinaz inhibitörleri ve soluble VEGFR reseptörleri yer almaktadır. </w:t>
      </w:r>
    </w:p>
    <w:p w:rsidR="00392ED6" w:rsidRPr="00392ED6" w:rsidRDefault="00392ED6" w:rsidP="00392ED6">
      <w:pPr>
        <w:spacing w:line="360" w:lineRule="auto"/>
        <w:jc w:val="both"/>
        <w:rPr>
          <w:rFonts w:eastAsia="Calibri"/>
          <w:b/>
          <w:bCs/>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2.2.5.1. Monoklonal Antikorlar</w:t>
      </w:r>
    </w:p>
    <w:p w:rsidR="00392ED6" w:rsidRPr="00392ED6" w:rsidRDefault="00392ED6" w:rsidP="00392ED6">
      <w:pPr>
        <w:spacing w:line="360" w:lineRule="auto"/>
        <w:jc w:val="both"/>
        <w:rPr>
          <w:rFonts w:eastAsia="Calibri"/>
          <w:lang w:val="tr-TR" w:eastAsia="tr-TR"/>
        </w:rPr>
      </w:pPr>
      <w:r w:rsidRPr="00392ED6">
        <w:rPr>
          <w:rFonts w:eastAsia="Calibri"/>
          <w:b/>
          <w:bCs/>
          <w:lang w:val="tr-TR" w:eastAsia="tr-TR"/>
        </w:rPr>
        <w:tab/>
      </w:r>
      <w:r w:rsidRPr="00392ED6">
        <w:rPr>
          <w:rFonts w:eastAsia="Calibri"/>
          <w:bCs/>
          <w:lang w:val="tr-TR" w:eastAsia="tr-TR"/>
        </w:rPr>
        <w:t xml:space="preserve">Monoklonal antikorlar temel olarak myelom hücreleri ile füzyon yapılarak ölümsüzleştirilmiş fare B hücrelerinden elde edilir. Elde edilen protein insan immün sistemi için oldukça antijeniktir. Bu nedenle insan antikorları ile fare antikorlarının birleştirilmesi ile elde edilen kimerik antikorlar insan organizması için daha az antijeniktir. Son dönemde insan genlerine fare immünglobülin genlerinin transgenik teknoloji ile aktarılmasıyla elde edilen </w:t>
      </w:r>
      <w:r w:rsidRPr="00392ED6">
        <w:rPr>
          <w:rFonts w:eastAsia="Calibri"/>
          <w:bCs/>
          <w:lang w:val="tr-TR" w:eastAsia="tr-TR"/>
        </w:rPr>
        <w:lastRenderedPageBreak/>
        <w:t xml:space="preserve">tamamen hümanize antikorlar da </w:t>
      </w:r>
      <w:proofErr w:type="gramStart"/>
      <w:r w:rsidRPr="00392ED6">
        <w:rPr>
          <w:rFonts w:eastAsia="Calibri"/>
          <w:bCs/>
          <w:lang w:val="tr-TR" w:eastAsia="tr-TR"/>
        </w:rPr>
        <w:t>mevcuttur .</w:t>
      </w:r>
      <w:proofErr w:type="gramEnd"/>
      <w:r w:rsidRPr="00392ED6">
        <w:rPr>
          <w:rFonts w:eastAsia="Calibri"/>
          <w:bCs/>
          <w:lang w:val="tr-TR" w:eastAsia="tr-TR"/>
        </w:rPr>
        <w:t xml:space="preserve"> Bu antikorlar hedef molekülü engelleme veya uyarmayla etkileyebildiği gibi aynı zamanda kompleman bağımlı sitotoksite antikor bağımlı hücresel sitotoksiteyi uyararak da etki göstermektedir. </w:t>
      </w:r>
      <w:r w:rsidRPr="00392ED6">
        <w:rPr>
          <w:rFonts w:eastAsia="Calibri"/>
          <w:lang w:val="tr-TR" w:eastAsia="tr-TR"/>
        </w:rPr>
        <w:t xml:space="preserve">Bu tedavilerden birisi olan bevacizumab VEGF’ ye karşı yüksek bağlanma özgüllüğü fazla olan rekombinant humanize bir monoklonal antikordur. Temel olarak VEGFA‘yı inhibe ederek endotelyal hücre ve tümör damarlanmasını çeşitli yollarla engeller. </w:t>
      </w:r>
    </w:p>
    <w:p w:rsidR="00392ED6" w:rsidRPr="00392ED6" w:rsidRDefault="00392ED6" w:rsidP="00392ED6">
      <w:pPr>
        <w:spacing w:line="360" w:lineRule="auto"/>
        <w:jc w:val="both"/>
        <w:rPr>
          <w:rFonts w:eastAsia="Calibri"/>
          <w:lang w:val="tr-TR" w:eastAsia="tr-TR"/>
        </w:rPr>
      </w:pPr>
    </w:p>
    <w:p w:rsidR="00392ED6" w:rsidRPr="00392ED6" w:rsidRDefault="00392ED6" w:rsidP="00392ED6">
      <w:pPr>
        <w:spacing w:line="360" w:lineRule="auto"/>
        <w:jc w:val="both"/>
        <w:rPr>
          <w:rFonts w:eastAsia="Calibri"/>
          <w:b/>
          <w:lang w:val="tr-TR" w:eastAsia="tr-TR"/>
        </w:rPr>
      </w:pPr>
      <w:r w:rsidRPr="00392ED6">
        <w:rPr>
          <w:rFonts w:eastAsia="Calibri"/>
          <w:b/>
          <w:lang w:val="tr-TR" w:eastAsia="tr-TR"/>
        </w:rPr>
        <w:t>2.2.5.2. Küçük Molekül VEGFR Kinaz İnhibitörleri</w:t>
      </w:r>
    </w:p>
    <w:p w:rsidR="00392ED6" w:rsidRPr="00392ED6" w:rsidRDefault="00392ED6" w:rsidP="00392ED6">
      <w:pPr>
        <w:spacing w:line="360" w:lineRule="auto"/>
        <w:jc w:val="both"/>
        <w:rPr>
          <w:rFonts w:eastAsia="Calibri"/>
          <w:bCs/>
          <w:lang w:val="tr-TR" w:eastAsia="tr-TR"/>
        </w:rPr>
      </w:pPr>
      <w:r w:rsidRPr="00392ED6">
        <w:rPr>
          <w:rFonts w:eastAsia="Calibri"/>
          <w:b/>
          <w:lang w:val="tr-TR" w:eastAsia="tr-TR"/>
        </w:rPr>
        <w:tab/>
      </w:r>
      <w:r w:rsidRPr="00392ED6">
        <w:rPr>
          <w:rFonts w:eastAsia="Calibri"/>
          <w:lang w:val="tr-TR" w:eastAsia="tr-TR"/>
        </w:rPr>
        <w:t xml:space="preserve">Epidermal büyüme faktörü, plateletden türetilmiş büyüme faktör reseptörü ve c-kite karşı olan </w:t>
      </w:r>
      <w:proofErr w:type="gramStart"/>
      <w:r w:rsidRPr="00392ED6">
        <w:rPr>
          <w:rFonts w:eastAsia="Calibri"/>
          <w:lang w:val="tr-TR" w:eastAsia="tr-TR"/>
        </w:rPr>
        <w:t>bir çok</w:t>
      </w:r>
      <w:proofErr w:type="gramEnd"/>
      <w:r w:rsidRPr="00392ED6">
        <w:rPr>
          <w:rFonts w:eastAsia="Calibri"/>
          <w:lang w:val="tr-TR" w:eastAsia="tr-TR"/>
        </w:rPr>
        <w:t xml:space="preserve"> tirozin kinaz inhibitörü VEGFR ve ilişkili kinaz reseptörlerini selektif olarak inhibe eder (60). SU-5416 VEGFR’nin potent bir inhibtörü olup çalışmalarda kullanılan ilk oral ajandır. </w:t>
      </w:r>
      <w:r w:rsidRPr="00392ED6">
        <w:rPr>
          <w:rFonts w:eastAsia="Calibri"/>
          <w:bCs/>
          <w:lang w:val="tr-TR" w:eastAsia="tr-TR"/>
        </w:rPr>
        <w:t>Molekülün çok etkin olmadığı ve ciddi thromboembolik olaylarla ilişkili olduğu gösterilmiştir (61). Fakat son dönemlerde bulunan sunitinib, vatalanib ve axitinib metastatik Renal hücreli karsinom, GİST (gastrointestinal stromal tümör), malign melanom, kolorektal kanser gibi hastalıklarda etkinlikleri gösterilmiş aynı zamanda VEGF inhibisyonu da yapan tirozin kinaz inhibitörleridir (62,63).</w:t>
      </w:r>
    </w:p>
    <w:p w:rsidR="00392ED6" w:rsidRPr="00392ED6" w:rsidRDefault="00392ED6" w:rsidP="00392ED6">
      <w:pPr>
        <w:spacing w:line="360" w:lineRule="auto"/>
        <w:jc w:val="both"/>
        <w:rPr>
          <w:rFonts w:eastAsia="Calibri"/>
          <w:b/>
          <w:bCs/>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2.2.5.3. Soluble VEGF Reseptörü</w:t>
      </w:r>
    </w:p>
    <w:p w:rsidR="00392ED6" w:rsidRPr="00392ED6" w:rsidRDefault="00392ED6" w:rsidP="00392ED6">
      <w:pPr>
        <w:spacing w:line="360" w:lineRule="auto"/>
        <w:jc w:val="both"/>
        <w:rPr>
          <w:rFonts w:eastAsia="Calibri"/>
          <w:bCs/>
          <w:lang w:val="tr-TR" w:eastAsia="tr-TR"/>
        </w:rPr>
      </w:pPr>
      <w:r w:rsidRPr="00392ED6">
        <w:rPr>
          <w:rFonts w:eastAsia="Calibri"/>
          <w:b/>
          <w:bCs/>
          <w:lang w:val="tr-TR" w:eastAsia="tr-TR"/>
        </w:rPr>
        <w:tab/>
      </w:r>
      <w:r w:rsidRPr="00392ED6">
        <w:rPr>
          <w:rFonts w:eastAsia="Calibri"/>
          <w:bCs/>
          <w:lang w:val="tr-TR" w:eastAsia="tr-TR"/>
        </w:rPr>
        <w:t>Dirençli veya nüks solid tümörler ve Hodgkin Lenfoma’da faz1 çalışması bulunan VEGF ve diğer üyelerininin reseptör öncesi bağlayan serbest VEGF reseptörleri de mevcuttur (64).</w:t>
      </w:r>
    </w:p>
    <w:p w:rsidR="00392ED6" w:rsidRPr="00392ED6" w:rsidRDefault="00392ED6" w:rsidP="00392ED6">
      <w:pPr>
        <w:spacing w:line="360" w:lineRule="auto"/>
        <w:jc w:val="both"/>
        <w:rPr>
          <w:rFonts w:eastAsia="Calibri"/>
          <w:b/>
          <w:bCs/>
          <w:lang w:val="tr-TR" w:eastAsia="tr-TR"/>
        </w:rPr>
      </w:pPr>
    </w:p>
    <w:p w:rsidR="00392ED6" w:rsidRPr="00392ED6" w:rsidRDefault="00392ED6" w:rsidP="00392ED6">
      <w:pPr>
        <w:spacing w:line="360" w:lineRule="auto"/>
        <w:jc w:val="both"/>
        <w:rPr>
          <w:rFonts w:eastAsia="Calibri"/>
          <w:b/>
          <w:bCs/>
          <w:lang w:val="tr-TR" w:eastAsia="tr-TR"/>
        </w:rPr>
      </w:pPr>
      <w:r w:rsidRPr="00392ED6">
        <w:rPr>
          <w:rFonts w:eastAsia="Calibri"/>
          <w:b/>
          <w:bCs/>
          <w:lang w:val="tr-TR" w:eastAsia="tr-TR"/>
        </w:rPr>
        <w:t>2.2.6. Kolorektal Kanserde Bevacizumab Tedavisi</w:t>
      </w:r>
    </w:p>
    <w:p w:rsidR="00392ED6" w:rsidRPr="00392ED6" w:rsidRDefault="00392ED6" w:rsidP="00392ED6">
      <w:pPr>
        <w:spacing w:after="200" w:line="360" w:lineRule="auto"/>
        <w:ind w:firstLine="708"/>
        <w:jc w:val="both"/>
        <w:rPr>
          <w:rFonts w:eastAsia="Calibri"/>
          <w:lang w:val="tr-TR" w:eastAsia="tr-TR"/>
        </w:rPr>
      </w:pPr>
      <w:r w:rsidRPr="00392ED6">
        <w:rPr>
          <w:rFonts w:eastAsia="Calibri"/>
          <w:lang w:val="tr-TR" w:eastAsia="tr-TR"/>
        </w:rPr>
        <w:t>Kolorektal kanser tanısı alan hastaların %20-50’sinin metastatik safhada gelmesi bu hastalara yönelik sağ kalımı uzatmak için yeni arayışların ortaya çıkmasına yol açtı. Diğer birçok kanser türünde olduğu gibi metastatik kolorektal kanserde de hedefe yönelik tedavilerle 2000 yıllardan sonra genel sağ kalımda belirgin bir artış sağlandı (65,66). Bu tedavilerden birisi olan bevacizumab VEGF’ye karşı yüksek bağlanma özgüllüğü fazla olan rekombinant humanize monoklonal antikordur. Bevacizumab VEGF’nin tüm ana formlarını tanır ve inhibe eder. VEGF’nin inhibisyonu endotelyal hücreleri ve tümör vaskülaritesini çeşitli yollarla etkiler. Endotelyal hücreler VEGF yokluğunda büyüyemez böylece yeni damar oluşumu inhibe olur ayrıca mevcut damarlarda da gerileme gözlenir (67).</w:t>
      </w:r>
    </w:p>
    <w:p w:rsidR="00392ED6" w:rsidRPr="00392ED6" w:rsidRDefault="00392ED6" w:rsidP="00392ED6">
      <w:pPr>
        <w:spacing w:after="200" w:line="360" w:lineRule="auto"/>
        <w:ind w:firstLine="708"/>
        <w:jc w:val="both"/>
        <w:rPr>
          <w:rFonts w:eastAsia="Calibri"/>
          <w:lang w:val="tr-TR" w:eastAsia="tr-TR"/>
        </w:rPr>
      </w:pPr>
      <w:r w:rsidRPr="00392ED6">
        <w:rPr>
          <w:rFonts w:eastAsia="Calibri"/>
          <w:lang w:val="tr-TR" w:eastAsia="tr-TR"/>
        </w:rPr>
        <w:lastRenderedPageBreak/>
        <w:t xml:space="preserve">  Hayvan modellerinde antiVEGF antikorların verilmesi tümör mikrovasküler yapısının yoğunluğunun azalmasına ve metastazların boyutu ve sayısında azalmaya yol açmıştır (68,69). Her ne kadar tümör damarlanmasının azalmasının sitotoksik </w:t>
      </w:r>
      <w:proofErr w:type="gramStart"/>
      <w:r w:rsidRPr="00392ED6">
        <w:rPr>
          <w:rFonts w:eastAsia="Calibri"/>
          <w:lang w:val="tr-TR" w:eastAsia="tr-TR"/>
        </w:rPr>
        <w:t>kemoterapinin</w:t>
      </w:r>
      <w:proofErr w:type="gramEnd"/>
      <w:r w:rsidRPr="00392ED6">
        <w:rPr>
          <w:rFonts w:eastAsia="Calibri"/>
          <w:lang w:val="tr-TR" w:eastAsia="tr-TR"/>
        </w:rPr>
        <w:t xml:space="preserve"> tümör hücrelerine iletilmesini azaltacağı yönünde kaygılar olsa da preklinik çalışmalarda bevacizumabın irinotekanla kombinasyonu intratümöral ilaç konsantrasyonunun artışına yol açtığı gösterilmiştir (70). Bu durum damarlanmanın normalleşmesine ve interstisyel basıncının düşüşüne ve bu durumda makromoleküllerin penetrasyonunun artışına yol açmasına bağlıdır. Bevacizumab hem metastatik hemde adjuvan olarak kolorektal kanserde 5 flurourasil, oxaliplatin ve irinotekanla </w:t>
      </w:r>
      <w:proofErr w:type="gramStart"/>
      <w:r w:rsidRPr="00392ED6">
        <w:rPr>
          <w:rFonts w:eastAsia="Calibri"/>
          <w:lang w:val="tr-TR" w:eastAsia="tr-TR"/>
        </w:rPr>
        <w:t>kombinasyon</w:t>
      </w:r>
      <w:proofErr w:type="gramEnd"/>
      <w:r w:rsidRPr="00392ED6">
        <w:rPr>
          <w:rFonts w:eastAsia="Calibri"/>
          <w:lang w:val="tr-TR" w:eastAsia="tr-TR"/>
        </w:rPr>
        <w:t xml:space="preserve"> şeklinde kullanılmış, metastatik tümörde cevap oranı, progresyonsuz sağ kalım ve genel sağ kalım yönünden avantaj sağlarken adjuvan olarak bu yararı gösterilememiştir.</w:t>
      </w:r>
    </w:p>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2.2.6.1. Bevacizumab İlişkili Yan Etkiler</w:t>
      </w:r>
    </w:p>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2.2.6.1.1. Hipertansiyon</w:t>
      </w:r>
    </w:p>
    <w:p w:rsidR="00392ED6" w:rsidRPr="00392ED6" w:rsidRDefault="00392ED6" w:rsidP="00392ED6">
      <w:pPr>
        <w:spacing w:after="200" w:line="360" w:lineRule="auto"/>
        <w:jc w:val="both"/>
        <w:rPr>
          <w:rFonts w:eastAsia="Calibri"/>
          <w:lang w:val="tr-TR" w:eastAsia="tr-TR"/>
        </w:rPr>
      </w:pPr>
      <w:r w:rsidRPr="00392ED6">
        <w:rPr>
          <w:rFonts w:eastAsia="Calibri"/>
          <w:lang w:val="tr-TR" w:eastAsia="tr-TR"/>
        </w:rPr>
        <w:tab/>
        <w:t xml:space="preserve">Hipertansiyon bevacizumabın doz bağımlı sık görülen bir yan etkisidir. ‘Common Terminology Criteria for Adverse Events (CTCAE)’ </w:t>
      </w:r>
      <w:proofErr w:type="gramStart"/>
      <w:r w:rsidRPr="00392ED6">
        <w:rPr>
          <w:rFonts w:eastAsia="Calibri"/>
          <w:lang w:val="tr-TR" w:eastAsia="tr-TR"/>
        </w:rPr>
        <w:t>kriterlerine</w:t>
      </w:r>
      <w:proofErr w:type="gramEnd"/>
      <w:r w:rsidRPr="00392ED6">
        <w:rPr>
          <w:rFonts w:eastAsia="Calibri"/>
          <w:lang w:val="tr-TR" w:eastAsia="tr-TR"/>
        </w:rPr>
        <w:t xml:space="preserve"> göre grade1-5 arasında derecelendirilir </w:t>
      </w:r>
      <w:r w:rsidRPr="00392ED6">
        <w:rPr>
          <w:rFonts w:eastAsia="Calibri"/>
          <w:b/>
          <w:lang w:val="tr-TR" w:eastAsia="tr-TR"/>
        </w:rPr>
        <w:t>(Tablo.3).</w:t>
      </w:r>
      <w:r w:rsidRPr="00392ED6">
        <w:rPr>
          <w:rFonts w:eastAsia="Calibri"/>
          <w:lang w:val="tr-TR" w:eastAsia="tr-TR"/>
        </w:rPr>
        <w:t xml:space="preserve"> Metaanalizlerde bevacizumab kullanımının tüm kanserlerde hipertansiyonun tüm evrelerinin görülme sıklığında belirgin artışla ilişkili olduğu gösterilmiştir (71). 7,5 mg/kg ve 15 mg /kg dozları göz önüne alındığında düşük doz için rölatif risk 3,0 iken yüksek doz için 7,5 olarak bulunmuştur. Düşük doz bevacizumab kullanımında hipertansiyon insidansı %2,7-32 arasında görülürken yüksek doz kullanımında %17-36 arasında görülmektedir. Evre 3 hipertansiyon düşük doz kullananların %</w:t>
      </w:r>
      <w:proofErr w:type="gramStart"/>
      <w:r w:rsidRPr="00392ED6">
        <w:rPr>
          <w:rFonts w:eastAsia="Calibri"/>
          <w:lang w:val="tr-TR" w:eastAsia="tr-TR"/>
        </w:rPr>
        <w:t>8.7’sinde</w:t>
      </w:r>
      <w:proofErr w:type="gramEnd"/>
      <w:r w:rsidRPr="00392ED6">
        <w:rPr>
          <w:rFonts w:eastAsia="Calibri"/>
          <w:lang w:val="tr-TR" w:eastAsia="tr-TR"/>
        </w:rPr>
        <w:t xml:space="preserve"> görülürken yüksek doz tedavi alanların %16’sında görülmüştür. Hipertansiyon sıklıkla bevacizumab kullanımının 4-6. haftasında başlayıp ilaç bırakıldıktan sonra normal sınırlarına dönmüştür (72). Bevacizumabın yarılanma ömrü yaklaşık 20 gündür ve kullanımına başlandıktan sonra kararlı </w:t>
      </w:r>
      <w:proofErr w:type="gramStart"/>
      <w:r w:rsidRPr="00392ED6">
        <w:rPr>
          <w:rFonts w:eastAsia="Calibri"/>
          <w:lang w:val="tr-TR" w:eastAsia="tr-TR"/>
        </w:rPr>
        <w:t>düzeye  ulaşması</w:t>
      </w:r>
      <w:proofErr w:type="gramEnd"/>
      <w:r w:rsidRPr="00392ED6">
        <w:rPr>
          <w:rFonts w:eastAsia="Calibri"/>
          <w:lang w:val="tr-TR" w:eastAsia="tr-TR"/>
        </w:rPr>
        <w:t xml:space="preserve"> 100 günü bulmaktadır. VEGF inhibitörlerine bağlı gelişen </w:t>
      </w:r>
      <w:proofErr w:type="gramStart"/>
      <w:r w:rsidRPr="00392ED6">
        <w:rPr>
          <w:rFonts w:eastAsia="Calibri"/>
          <w:lang w:val="tr-TR" w:eastAsia="tr-TR"/>
        </w:rPr>
        <w:t>hipertansiyonun  patogenezi</w:t>
      </w:r>
      <w:proofErr w:type="gramEnd"/>
      <w:r w:rsidRPr="00392ED6">
        <w:rPr>
          <w:rFonts w:eastAsia="Calibri"/>
          <w:lang w:val="tr-TR" w:eastAsia="tr-TR"/>
        </w:rPr>
        <w:t xml:space="preserve"> net olarak anlaşılamamış olsa da öne sürülen çeşitli faktörler mevcuttur.</w:t>
      </w:r>
    </w:p>
    <w:p w:rsidR="00392ED6" w:rsidRPr="00392ED6" w:rsidRDefault="00392ED6" w:rsidP="00392ED6">
      <w:pPr>
        <w:spacing w:after="200" w:line="360" w:lineRule="auto"/>
        <w:jc w:val="both"/>
        <w:rPr>
          <w:rFonts w:eastAsia="Calibri"/>
          <w:lang w:val="tr-TR" w:eastAsia="tr-TR"/>
        </w:rPr>
      </w:pPr>
    </w:p>
    <w:p w:rsidR="00392ED6" w:rsidRPr="00392ED6" w:rsidRDefault="00392ED6" w:rsidP="00392ED6">
      <w:pPr>
        <w:spacing w:after="200" w:line="360" w:lineRule="auto"/>
        <w:jc w:val="both"/>
        <w:rPr>
          <w:rFonts w:eastAsia="Calibri"/>
          <w:lang w:val="tr-TR" w:eastAsia="tr-TR"/>
        </w:rPr>
      </w:pPr>
    </w:p>
    <w:p w:rsidR="00392ED6" w:rsidRPr="00392ED6" w:rsidRDefault="00392ED6" w:rsidP="00392ED6">
      <w:pPr>
        <w:spacing w:after="200" w:line="360" w:lineRule="auto"/>
        <w:jc w:val="both"/>
        <w:rPr>
          <w:rFonts w:eastAsia="Calibri"/>
          <w:lang w:val="tr-TR" w:eastAsia="tr-TR"/>
        </w:rPr>
      </w:pPr>
    </w:p>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lastRenderedPageBreak/>
        <w:t>Tablo.1 JNC 7 Hipertansiyon Sınıflaması</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70"/>
        <w:gridCol w:w="3071"/>
        <w:gridCol w:w="3071"/>
      </w:tblGrid>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b/>
                <w:lang w:val="tr-TR" w:eastAsia="tr-TR"/>
              </w:rPr>
            </w:pPr>
          </w:p>
        </w:tc>
        <w:tc>
          <w:tcPr>
            <w:tcW w:w="3071" w:type="dxa"/>
            <w:shd w:val="clear" w:color="auto" w:fill="auto"/>
          </w:tcPr>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Sistolik Kan Basıncı</w:t>
            </w:r>
          </w:p>
        </w:tc>
        <w:tc>
          <w:tcPr>
            <w:tcW w:w="3071" w:type="dxa"/>
            <w:shd w:val="clear" w:color="auto" w:fill="auto"/>
          </w:tcPr>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Diastolik Kan Basıncı</w:t>
            </w: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Normal</w:t>
            </w:r>
          </w:p>
        </w:tc>
        <w:tc>
          <w:tcPr>
            <w:tcW w:w="3071" w:type="dxa"/>
            <w:shd w:val="clear" w:color="auto" w:fill="auto"/>
          </w:tcPr>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&lt;  120 mmHg</w:t>
            </w:r>
          </w:p>
        </w:tc>
        <w:tc>
          <w:tcPr>
            <w:tcW w:w="3071" w:type="dxa"/>
            <w:shd w:val="clear" w:color="auto" w:fill="auto"/>
          </w:tcPr>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&lt; 80 mmHg</w:t>
            </w: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Prehipertansif</w:t>
            </w:r>
          </w:p>
        </w:tc>
        <w:tc>
          <w:tcPr>
            <w:tcW w:w="3071" w:type="dxa"/>
            <w:shd w:val="clear" w:color="auto" w:fill="auto"/>
          </w:tcPr>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120-139 mmHg</w:t>
            </w:r>
          </w:p>
        </w:tc>
        <w:tc>
          <w:tcPr>
            <w:tcW w:w="3071" w:type="dxa"/>
            <w:shd w:val="clear" w:color="auto" w:fill="auto"/>
          </w:tcPr>
          <w:p w:rsidR="00392ED6" w:rsidRPr="00392ED6" w:rsidRDefault="00392ED6" w:rsidP="00392ED6">
            <w:pPr>
              <w:spacing w:after="200" w:line="360" w:lineRule="auto"/>
              <w:jc w:val="both"/>
              <w:rPr>
                <w:rFonts w:eastAsia="Calibri"/>
                <w:b/>
                <w:lang w:val="tr-TR" w:eastAsia="tr-TR"/>
              </w:rPr>
            </w:pPr>
            <w:proofErr w:type="gramStart"/>
            <w:r w:rsidRPr="00392ED6">
              <w:rPr>
                <w:rFonts w:eastAsia="Calibri"/>
                <w:b/>
                <w:lang w:val="tr-TR" w:eastAsia="tr-TR"/>
              </w:rPr>
              <w:t>veya</w:t>
            </w:r>
            <w:proofErr w:type="gramEnd"/>
            <w:r w:rsidRPr="00392ED6">
              <w:rPr>
                <w:rFonts w:eastAsia="Calibri"/>
                <w:b/>
                <w:lang w:val="tr-TR" w:eastAsia="tr-TR"/>
              </w:rPr>
              <w:t xml:space="preserve"> 80-89 mmHg</w:t>
            </w: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Evre 1</w:t>
            </w:r>
          </w:p>
        </w:tc>
        <w:tc>
          <w:tcPr>
            <w:tcW w:w="3071" w:type="dxa"/>
            <w:shd w:val="clear" w:color="auto" w:fill="auto"/>
          </w:tcPr>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140-159 mmHg</w:t>
            </w:r>
          </w:p>
        </w:tc>
        <w:tc>
          <w:tcPr>
            <w:tcW w:w="3071" w:type="dxa"/>
            <w:shd w:val="clear" w:color="auto" w:fill="auto"/>
          </w:tcPr>
          <w:p w:rsidR="00392ED6" w:rsidRPr="00392ED6" w:rsidRDefault="00392ED6" w:rsidP="00392ED6">
            <w:pPr>
              <w:spacing w:after="200" w:line="360" w:lineRule="auto"/>
              <w:jc w:val="both"/>
              <w:rPr>
                <w:rFonts w:eastAsia="Calibri"/>
                <w:b/>
                <w:lang w:val="tr-TR" w:eastAsia="tr-TR"/>
              </w:rPr>
            </w:pPr>
            <w:proofErr w:type="gramStart"/>
            <w:r w:rsidRPr="00392ED6">
              <w:rPr>
                <w:rFonts w:eastAsia="Calibri"/>
                <w:b/>
                <w:lang w:val="tr-TR" w:eastAsia="tr-TR"/>
              </w:rPr>
              <w:t>veya</w:t>
            </w:r>
            <w:proofErr w:type="gramEnd"/>
            <w:r w:rsidRPr="00392ED6">
              <w:rPr>
                <w:rFonts w:eastAsia="Calibri"/>
                <w:b/>
                <w:lang w:val="tr-TR" w:eastAsia="tr-TR"/>
              </w:rPr>
              <w:t xml:space="preserve"> 90-99 mmHg</w:t>
            </w: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Evre 2</w:t>
            </w:r>
          </w:p>
        </w:tc>
        <w:tc>
          <w:tcPr>
            <w:tcW w:w="3071" w:type="dxa"/>
            <w:shd w:val="clear" w:color="auto" w:fill="auto"/>
          </w:tcPr>
          <w:p w:rsidR="00392ED6" w:rsidRPr="00392ED6" w:rsidRDefault="00392ED6" w:rsidP="00392ED6">
            <w:pPr>
              <w:numPr>
                <w:ilvl w:val="0"/>
                <w:numId w:val="11"/>
              </w:numPr>
              <w:spacing w:after="200" w:line="360" w:lineRule="auto"/>
              <w:jc w:val="both"/>
              <w:rPr>
                <w:rFonts w:eastAsia="Calibri"/>
                <w:b/>
                <w:lang w:val="tr-TR" w:eastAsia="tr-TR"/>
              </w:rPr>
            </w:pPr>
            <w:r w:rsidRPr="00392ED6">
              <w:rPr>
                <w:rFonts w:eastAsia="Calibri"/>
                <w:b/>
                <w:lang w:val="tr-TR" w:eastAsia="tr-TR"/>
              </w:rPr>
              <w:t>160 mmHg</w:t>
            </w:r>
          </w:p>
        </w:tc>
        <w:tc>
          <w:tcPr>
            <w:tcW w:w="3071" w:type="dxa"/>
            <w:shd w:val="clear" w:color="auto" w:fill="auto"/>
          </w:tcPr>
          <w:p w:rsidR="00392ED6" w:rsidRPr="00392ED6" w:rsidRDefault="00392ED6" w:rsidP="00392ED6">
            <w:pPr>
              <w:spacing w:after="200" w:line="360" w:lineRule="auto"/>
              <w:jc w:val="both"/>
              <w:rPr>
                <w:rFonts w:eastAsia="Calibri"/>
                <w:b/>
                <w:lang w:val="tr-TR" w:eastAsia="tr-TR"/>
              </w:rPr>
            </w:pPr>
            <w:proofErr w:type="gramStart"/>
            <w:r w:rsidRPr="00392ED6">
              <w:rPr>
                <w:rFonts w:eastAsia="Calibri"/>
                <w:b/>
                <w:lang w:val="tr-TR" w:eastAsia="tr-TR"/>
              </w:rPr>
              <w:t>veya</w:t>
            </w:r>
            <w:proofErr w:type="gramEnd"/>
            <w:r w:rsidRPr="00392ED6">
              <w:rPr>
                <w:rFonts w:eastAsia="Calibri"/>
                <w:b/>
                <w:lang w:val="tr-TR" w:eastAsia="tr-TR"/>
              </w:rPr>
              <w:t xml:space="preserve"> &gt; 100 mmHg</w:t>
            </w:r>
          </w:p>
        </w:tc>
      </w:tr>
    </w:tbl>
    <w:p w:rsidR="00392ED6" w:rsidRPr="00392ED6" w:rsidRDefault="00392ED6" w:rsidP="00392ED6">
      <w:pPr>
        <w:spacing w:after="200" w:line="360" w:lineRule="auto"/>
        <w:jc w:val="both"/>
        <w:rPr>
          <w:rFonts w:eastAsia="Calibri"/>
          <w:b/>
          <w:bCs/>
          <w:lang w:val="tr-TR" w:eastAsia="tr-TR"/>
        </w:rPr>
      </w:pPr>
    </w:p>
    <w:p w:rsidR="00392ED6" w:rsidRPr="00392ED6" w:rsidRDefault="00392ED6" w:rsidP="00392ED6">
      <w:pPr>
        <w:spacing w:after="200" w:line="360" w:lineRule="auto"/>
        <w:jc w:val="both"/>
        <w:rPr>
          <w:rFonts w:eastAsia="Calibri"/>
          <w:b/>
          <w:i/>
          <w:lang w:val="tr-TR" w:eastAsia="tr-TR"/>
        </w:rPr>
      </w:pPr>
      <w:r w:rsidRPr="00392ED6">
        <w:rPr>
          <w:rFonts w:eastAsia="Calibri"/>
          <w:b/>
          <w:bCs/>
          <w:lang w:val="tr-TR" w:eastAsia="tr-TR"/>
        </w:rPr>
        <w:t>Tablo.2  ‘</w:t>
      </w:r>
      <w:r w:rsidRPr="00392ED6">
        <w:rPr>
          <w:rFonts w:eastAsia="Calibri"/>
          <w:b/>
          <w:i/>
          <w:lang w:val="tr-TR" w:eastAsia="tr-TR"/>
        </w:rPr>
        <w:t>Common Terminology Criteria for Adverse Events referring to hypertension v3.0 (CTCAE)’</w:t>
      </w:r>
    </w:p>
    <w:tbl>
      <w:tblPr>
        <w:tblW w:w="8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2"/>
        <w:gridCol w:w="6429"/>
      </w:tblGrid>
      <w:tr w:rsidR="00392ED6" w:rsidRPr="00392ED6" w:rsidTr="00392ED6">
        <w:trPr>
          <w:trHeight w:val="486"/>
        </w:trPr>
        <w:tc>
          <w:tcPr>
            <w:tcW w:w="2172" w:type="dxa"/>
            <w:shd w:val="clear" w:color="auto" w:fill="auto"/>
          </w:tcPr>
          <w:p w:rsidR="00392ED6" w:rsidRPr="00392ED6" w:rsidRDefault="00392ED6" w:rsidP="00392ED6">
            <w:pPr>
              <w:rPr>
                <w:rFonts w:eastAsia="Calibri"/>
                <w:b/>
                <w:sz w:val="32"/>
                <w:szCs w:val="32"/>
                <w:lang w:val="tr-TR"/>
              </w:rPr>
            </w:pPr>
            <w:r w:rsidRPr="00392ED6">
              <w:rPr>
                <w:rFonts w:eastAsia="Calibri"/>
                <w:b/>
                <w:sz w:val="32"/>
                <w:szCs w:val="32"/>
                <w:lang w:val="tr-TR"/>
              </w:rPr>
              <w:t>Hipertansiyon</w:t>
            </w:r>
          </w:p>
          <w:p w:rsidR="00392ED6" w:rsidRPr="00392ED6" w:rsidRDefault="00392ED6" w:rsidP="00392ED6">
            <w:pPr>
              <w:rPr>
                <w:rFonts w:eastAsia="Calibri"/>
                <w:b/>
                <w:sz w:val="32"/>
                <w:szCs w:val="32"/>
                <w:lang w:val="tr-TR"/>
              </w:rPr>
            </w:pPr>
          </w:p>
          <w:p w:rsidR="00392ED6" w:rsidRPr="00392ED6" w:rsidRDefault="00392ED6" w:rsidP="00392ED6">
            <w:pPr>
              <w:rPr>
                <w:rFonts w:ascii="Calibri" w:eastAsia="Calibri" w:hAnsi="Calibri"/>
                <w:sz w:val="22"/>
                <w:szCs w:val="22"/>
                <w:lang w:val="tr-TR"/>
              </w:rPr>
            </w:pPr>
            <w:r w:rsidRPr="00392ED6">
              <w:rPr>
                <w:rFonts w:eastAsia="Calibri"/>
                <w:b/>
                <w:sz w:val="32"/>
                <w:szCs w:val="32"/>
                <w:lang w:val="tr-TR"/>
              </w:rPr>
              <w:t>Evresi</w:t>
            </w:r>
          </w:p>
        </w:tc>
        <w:tc>
          <w:tcPr>
            <w:tcW w:w="6429" w:type="dxa"/>
            <w:shd w:val="clear" w:color="auto" w:fill="auto"/>
          </w:tcPr>
          <w:p w:rsidR="00392ED6" w:rsidRPr="00392ED6" w:rsidRDefault="00392ED6" w:rsidP="00392ED6">
            <w:pPr>
              <w:rPr>
                <w:rFonts w:eastAsia="Calibri"/>
                <w:b/>
                <w:sz w:val="32"/>
                <w:szCs w:val="32"/>
                <w:lang w:val="tr-TR"/>
              </w:rPr>
            </w:pPr>
            <w:r w:rsidRPr="00392ED6">
              <w:rPr>
                <w:rFonts w:ascii="Calibri" w:eastAsia="Calibri" w:hAnsi="Calibri"/>
                <w:sz w:val="22"/>
                <w:szCs w:val="22"/>
                <w:lang w:val="tr-TR"/>
              </w:rPr>
              <w:t xml:space="preserve">                        </w:t>
            </w:r>
            <w:r w:rsidRPr="00392ED6">
              <w:rPr>
                <w:rFonts w:eastAsia="Calibri"/>
                <w:b/>
                <w:sz w:val="32"/>
                <w:szCs w:val="32"/>
                <w:lang w:val="tr-TR"/>
              </w:rPr>
              <w:t xml:space="preserve"> Semptomlar</w:t>
            </w:r>
          </w:p>
          <w:p w:rsidR="00392ED6" w:rsidRPr="00392ED6" w:rsidRDefault="00392ED6" w:rsidP="00392ED6">
            <w:pPr>
              <w:rPr>
                <w:rFonts w:ascii="Calibri" w:eastAsia="Calibri" w:hAnsi="Calibri"/>
                <w:sz w:val="22"/>
                <w:szCs w:val="22"/>
                <w:lang w:val="tr-TR"/>
              </w:rPr>
            </w:pPr>
          </w:p>
        </w:tc>
      </w:tr>
      <w:tr w:rsidR="00392ED6" w:rsidRPr="00392ED6" w:rsidTr="00392ED6">
        <w:trPr>
          <w:trHeight w:val="507"/>
        </w:trPr>
        <w:tc>
          <w:tcPr>
            <w:tcW w:w="2172" w:type="dxa"/>
            <w:shd w:val="clear" w:color="auto" w:fill="auto"/>
          </w:tcPr>
          <w:p w:rsidR="00392ED6" w:rsidRPr="00392ED6" w:rsidRDefault="00392ED6" w:rsidP="00392ED6">
            <w:pPr>
              <w:rPr>
                <w:rFonts w:ascii="Calibri" w:eastAsia="Calibri" w:hAnsi="Calibri"/>
                <w:sz w:val="22"/>
                <w:szCs w:val="22"/>
                <w:lang w:val="tr-TR"/>
              </w:rPr>
            </w:pPr>
          </w:p>
          <w:p w:rsidR="00392ED6" w:rsidRPr="00392ED6" w:rsidRDefault="00392ED6" w:rsidP="00392ED6">
            <w:pPr>
              <w:rPr>
                <w:rFonts w:eastAsia="Calibri"/>
                <w:b/>
                <w:sz w:val="32"/>
                <w:szCs w:val="32"/>
                <w:lang w:val="tr-TR"/>
              </w:rPr>
            </w:pPr>
            <w:r w:rsidRPr="00392ED6">
              <w:rPr>
                <w:rFonts w:ascii="Calibri" w:eastAsia="Calibri" w:hAnsi="Calibri"/>
                <w:sz w:val="22"/>
                <w:szCs w:val="22"/>
                <w:lang w:val="tr-TR"/>
              </w:rPr>
              <w:t xml:space="preserve">            </w:t>
            </w:r>
            <w:r w:rsidRPr="00392ED6">
              <w:rPr>
                <w:rFonts w:eastAsia="Calibri"/>
                <w:b/>
                <w:sz w:val="32"/>
                <w:szCs w:val="32"/>
                <w:lang w:val="tr-TR"/>
              </w:rPr>
              <w:t xml:space="preserve">   1</w:t>
            </w:r>
          </w:p>
        </w:tc>
        <w:tc>
          <w:tcPr>
            <w:tcW w:w="6429" w:type="dxa"/>
            <w:shd w:val="clear" w:color="auto" w:fill="auto"/>
          </w:tcPr>
          <w:p w:rsidR="00392ED6" w:rsidRPr="00392ED6" w:rsidRDefault="00392ED6" w:rsidP="00392ED6">
            <w:pPr>
              <w:spacing w:line="360" w:lineRule="auto"/>
              <w:jc w:val="both"/>
              <w:rPr>
                <w:rFonts w:eastAsia="Calibri"/>
                <w:lang w:val="tr-TR" w:eastAsia="tr-TR"/>
              </w:rPr>
            </w:pPr>
            <w:r w:rsidRPr="00392ED6">
              <w:rPr>
                <w:rFonts w:eastAsia="Calibri"/>
                <w:lang w:val="tr-TR" w:eastAsia="tr-TR"/>
              </w:rPr>
              <w:t>KB daha önce normalken asemptomatik, geçici (&lt;24 h),                                                  diyastolik 20 mmHg veya 150/100 mmHg ve üzerine çıkışı,                                                  müdahale gerekli değildir.</w:t>
            </w:r>
          </w:p>
          <w:p w:rsidR="00392ED6" w:rsidRPr="00392ED6" w:rsidRDefault="00392ED6" w:rsidP="00392ED6">
            <w:pPr>
              <w:rPr>
                <w:rFonts w:ascii="Calibri" w:eastAsia="Calibri" w:hAnsi="Calibri"/>
                <w:sz w:val="22"/>
                <w:szCs w:val="22"/>
                <w:lang w:val="tr-TR"/>
              </w:rPr>
            </w:pPr>
          </w:p>
        </w:tc>
      </w:tr>
      <w:tr w:rsidR="00392ED6" w:rsidRPr="00392ED6" w:rsidTr="00392ED6">
        <w:trPr>
          <w:trHeight w:val="486"/>
        </w:trPr>
        <w:tc>
          <w:tcPr>
            <w:tcW w:w="2172" w:type="dxa"/>
            <w:shd w:val="clear" w:color="auto" w:fill="auto"/>
          </w:tcPr>
          <w:p w:rsidR="00392ED6" w:rsidRPr="00392ED6" w:rsidRDefault="00392ED6" w:rsidP="00392ED6">
            <w:pPr>
              <w:rPr>
                <w:rFonts w:ascii="Calibri" w:eastAsia="Calibri" w:hAnsi="Calibri"/>
                <w:sz w:val="22"/>
                <w:szCs w:val="22"/>
                <w:lang w:val="tr-TR"/>
              </w:rPr>
            </w:pPr>
          </w:p>
          <w:p w:rsidR="00392ED6" w:rsidRPr="00392ED6" w:rsidRDefault="00392ED6" w:rsidP="00392ED6">
            <w:pPr>
              <w:rPr>
                <w:rFonts w:eastAsia="Calibri"/>
                <w:b/>
                <w:sz w:val="32"/>
                <w:szCs w:val="32"/>
                <w:lang w:val="tr-TR"/>
              </w:rPr>
            </w:pPr>
            <w:r w:rsidRPr="00392ED6">
              <w:rPr>
                <w:rFonts w:eastAsia="Calibri"/>
                <w:b/>
                <w:sz w:val="32"/>
                <w:szCs w:val="32"/>
                <w:lang w:val="tr-TR"/>
              </w:rPr>
              <w:t xml:space="preserve">           2            </w:t>
            </w:r>
          </w:p>
        </w:tc>
        <w:tc>
          <w:tcPr>
            <w:tcW w:w="6429" w:type="dxa"/>
            <w:shd w:val="clear" w:color="auto" w:fill="auto"/>
          </w:tcPr>
          <w:p w:rsidR="00392ED6" w:rsidRPr="00392ED6" w:rsidRDefault="00392ED6" w:rsidP="00392ED6">
            <w:pPr>
              <w:spacing w:line="360" w:lineRule="auto"/>
              <w:jc w:val="both"/>
              <w:rPr>
                <w:rFonts w:eastAsia="Calibri" w:cs="Calibri"/>
                <w:b/>
                <w:lang w:val="tr-TR" w:eastAsia="tr-TR"/>
              </w:rPr>
            </w:pPr>
            <w:r w:rsidRPr="00392ED6">
              <w:rPr>
                <w:rFonts w:eastAsia="Calibri"/>
                <w:lang w:val="tr-TR" w:eastAsia="tr-TR"/>
              </w:rPr>
              <w:t>KB daha önce normalken rekürren veya persistant (&gt;24 h)                                                    diyastolik 20 mmHg veya 150/100 mmHg ve üzerine çıkışı                                                                                                         monoterapi gerekli olabilir.</w:t>
            </w:r>
          </w:p>
          <w:p w:rsidR="00392ED6" w:rsidRPr="00392ED6" w:rsidRDefault="00392ED6" w:rsidP="00392ED6">
            <w:pPr>
              <w:rPr>
                <w:rFonts w:ascii="Calibri" w:eastAsia="Calibri" w:hAnsi="Calibri"/>
                <w:sz w:val="22"/>
                <w:szCs w:val="22"/>
                <w:lang w:val="tr-TR"/>
              </w:rPr>
            </w:pPr>
          </w:p>
        </w:tc>
      </w:tr>
      <w:tr w:rsidR="00392ED6" w:rsidRPr="00392ED6" w:rsidTr="00392ED6">
        <w:trPr>
          <w:trHeight w:val="486"/>
        </w:trPr>
        <w:tc>
          <w:tcPr>
            <w:tcW w:w="2172" w:type="dxa"/>
            <w:shd w:val="clear" w:color="auto" w:fill="auto"/>
          </w:tcPr>
          <w:p w:rsidR="00392ED6" w:rsidRPr="00392ED6" w:rsidRDefault="00392ED6" w:rsidP="00392ED6">
            <w:pPr>
              <w:rPr>
                <w:rFonts w:ascii="Calibri" w:eastAsia="Calibri" w:hAnsi="Calibri"/>
                <w:sz w:val="22"/>
                <w:szCs w:val="22"/>
                <w:lang w:val="tr-TR"/>
              </w:rPr>
            </w:pPr>
          </w:p>
          <w:p w:rsidR="00392ED6" w:rsidRPr="00392ED6" w:rsidRDefault="00392ED6" w:rsidP="00392ED6">
            <w:pPr>
              <w:rPr>
                <w:rFonts w:eastAsia="Calibri"/>
                <w:b/>
                <w:sz w:val="32"/>
                <w:szCs w:val="32"/>
                <w:lang w:val="tr-TR"/>
              </w:rPr>
            </w:pPr>
            <w:r w:rsidRPr="00392ED6">
              <w:rPr>
                <w:rFonts w:ascii="Calibri" w:eastAsia="Calibri" w:hAnsi="Calibri"/>
                <w:sz w:val="22"/>
                <w:szCs w:val="22"/>
                <w:lang w:val="tr-TR"/>
              </w:rPr>
              <w:t xml:space="preserve">                  </w:t>
            </w:r>
            <w:r w:rsidRPr="00392ED6">
              <w:rPr>
                <w:rFonts w:eastAsia="Calibri"/>
                <w:b/>
                <w:sz w:val="32"/>
                <w:szCs w:val="32"/>
                <w:lang w:val="tr-TR"/>
              </w:rPr>
              <w:t>3</w:t>
            </w:r>
          </w:p>
        </w:tc>
        <w:tc>
          <w:tcPr>
            <w:tcW w:w="6429" w:type="dxa"/>
            <w:shd w:val="clear" w:color="auto" w:fill="auto"/>
          </w:tcPr>
          <w:p w:rsidR="00392ED6" w:rsidRPr="00392ED6" w:rsidRDefault="00392ED6" w:rsidP="00392ED6">
            <w:pPr>
              <w:rPr>
                <w:rFonts w:eastAsia="Calibri"/>
                <w:lang w:val="tr-TR"/>
              </w:rPr>
            </w:pPr>
            <w:r w:rsidRPr="00392ED6">
              <w:rPr>
                <w:rFonts w:eastAsia="Calibri"/>
                <w:lang w:val="tr-TR"/>
              </w:rPr>
              <w:t>Birden fazla ilaç veya daha önceki tedaviye göre daha yoğun tedavi gerektiren.</w:t>
            </w:r>
          </w:p>
          <w:p w:rsidR="00392ED6" w:rsidRPr="00392ED6" w:rsidRDefault="00392ED6" w:rsidP="00392ED6">
            <w:pPr>
              <w:rPr>
                <w:rFonts w:ascii="Calibri" w:eastAsia="Calibri" w:hAnsi="Calibri"/>
                <w:sz w:val="22"/>
                <w:szCs w:val="22"/>
                <w:lang w:val="tr-TR"/>
              </w:rPr>
            </w:pPr>
          </w:p>
        </w:tc>
      </w:tr>
      <w:tr w:rsidR="00392ED6" w:rsidRPr="00392ED6" w:rsidTr="00392ED6">
        <w:trPr>
          <w:trHeight w:val="486"/>
        </w:trPr>
        <w:tc>
          <w:tcPr>
            <w:tcW w:w="2172" w:type="dxa"/>
            <w:shd w:val="clear" w:color="auto" w:fill="auto"/>
          </w:tcPr>
          <w:p w:rsidR="00392ED6" w:rsidRPr="00392ED6" w:rsidRDefault="00392ED6" w:rsidP="00392ED6">
            <w:pPr>
              <w:rPr>
                <w:rFonts w:ascii="Calibri" w:eastAsia="Calibri" w:hAnsi="Calibri"/>
                <w:sz w:val="22"/>
                <w:szCs w:val="22"/>
                <w:lang w:val="tr-TR"/>
              </w:rPr>
            </w:pPr>
            <w:r w:rsidRPr="00392ED6">
              <w:rPr>
                <w:rFonts w:ascii="Calibri" w:eastAsia="Calibri" w:hAnsi="Calibri"/>
                <w:sz w:val="22"/>
                <w:szCs w:val="22"/>
                <w:lang w:val="tr-TR"/>
              </w:rPr>
              <w:t xml:space="preserve">  </w:t>
            </w:r>
          </w:p>
          <w:p w:rsidR="00392ED6" w:rsidRPr="00392ED6" w:rsidRDefault="00392ED6" w:rsidP="00392ED6">
            <w:pPr>
              <w:rPr>
                <w:rFonts w:eastAsia="Calibri"/>
                <w:b/>
                <w:sz w:val="32"/>
                <w:szCs w:val="32"/>
                <w:lang w:val="tr-TR"/>
              </w:rPr>
            </w:pPr>
            <w:r w:rsidRPr="00392ED6">
              <w:rPr>
                <w:rFonts w:eastAsia="Calibri"/>
                <w:b/>
                <w:sz w:val="32"/>
                <w:szCs w:val="32"/>
                <w:lang w:val="tr-TR"/>
              </w:rPr>
              <w:t xml:space="preserve">           4</w:t>
            </w:r>
          </w:p>
        </w:tc>
        <w:tc>
          <w:tcPr>
            <w:tcW w:w="6429" w:type="dxa"/>
            <w:shd w:val="clear" w:color="auto" w:fill="auto"/>
          </w:tcPr>
          <w:p w:rsidR="00392ED6" w:rsidRPr="00392ED6" w:rsidRDefault="00392ED6" w:rsidP="00392ED6">
            <w:pPr>
              <w:rPr>
                <w:rFonts w:eastAsia="Calibri"/>
                <w:lang w:val="tr-TR"/>
              </w:rPr>
            </w:pPr>
            <w:r w:rsidRPr="00392ED6">
              <w:rPr>
                <w:rFonts w:eastAsia="Calibri"/>
                <w:lang w:val="tr-TR" w:eastAsia="tr-TR"/>
              </w:rPr>
              <w:t>Hayatı tehdit eden durumlar (</w:t>
            </w:r>
            <w:proofErr w:type="gramStart"/>
            <w:r w:rsidRPr="00392ED6">
              <w:rPr>
                <w:rFonts w:eastAsia="Calibri"/>
                <w:lang w:val="tr-TR" w:eastAsia="tr-TR"/>
              </w:rPr>
              <w:t>örn:hipertansif</w:t>
            </w:r>
            <w:proofErr w:type="gramEnd"/>
            <w:r w:rsidRPr="00392ED6">
              <w:rPr>
                <w:rFonts w:eastAsia="Calibri"/>
                <w:lang w:val="tr-TR" w:eastAsia="tr-TR"/>
              </w:rPr>
              <w:t xml:space="preserve"> kriz)</w:t>
            </w:r>
          </w:p>
        </w:tc>
      </w:tr>
      <w:tr w:rsidR="00392ED6" w:rsidRPr="00392ED6" w:rsidTr="00392ED6">
        <w:trPr>
          <w:trHeight w:val="54"/>
        </w:trPr>
        <w:tc>
          <w:tcPr>
            <w:tcW w:w="2172" w:type="dxa"/>
            <w:shd w:val="clear" w:color="auto" w:fill="auto"/>
          </w:tcPr>
          <w:p w:rsidR="00392ED6" w:rsidRPr="00392ED6" w:rsidRDefault="00392ED6" w:rsidP="00392ED6">
            <w:pPr>
              <w:rPr>
                <w:rFonts w:ascii="Calibri" w:eastAsia="Calibri" w:hAnsi="Calibri"/>
                <w:sz w:val="22"/>
                <w:szCs w:val="22"/>
                <w:lang w:val="tr-TR"/>
              </w:rPr>
            </w:pPr>
            <w:r w:rsidRPr="00392ED6">
              <w:rPr>
                <w:rFonts w:ascii="Calibri" w:eastAsia="Calibri" w:hAnsi="Calibri"/>
                <w:sz w:val="22"/>
                <w:szCs w:val="22"/>
                <w:lang w:val="tr-TR"/>
              </w:rPr>
              <w:t xml:space="preserve">    </w:t>
            </w:r>
          </w:p>
          <w:p w:rsidR="00392ED6" w:rsidRPr="00392ED6" w:rsidRDefault="00392ED6" w:rsidP="00392ED6">
            <w:pPr>
              <w:rPr>
                <w:rFonts w:eastAsia="Calibri"/>
                <w:b/>
                <w:sz w:val="32"/>
                <w:szCs w:val="32"/>
                <w:lang w:val="tr-TR"/>
              </w:rPr>
            </w:pPr>
            <w:r w:rsidRPr="00392ED6">
              <w:rPr>
                <w:rFonts w:ascii="Calibri" w:eastAsia="Calibri" w:hAnsi="Calibri"/>
                <w:sz w:val="22"/>
                <w:szCs w:val="22"/>
                <w:lang w:val="tr-TR"/>
              </w:rPr>
              <w:t xml:space="preserve">                  </w:t>
            </w:r>
            <w:r w:rsidRPr="00392ED6">
              <w:rPr>
                <w:rFonts w:eastAsia="Calibri"/>
                <w:b/>
                <w:sz w:val="32"/>
                <w:szCs w:val="32"/>
                <w:lang w:val="tr-TR"/>
              </w:rPr>
              <w:t>5</w:t>
            </w:r>
          </w:p>
          <w:p w:rsidR="00392ED6" w:rsidRPr="00392ED6" w:rsidRDefault="00392ED6" w:rsidP="00392ED6">
            <w:pPr>
              <w:rPr>
                <w:rFonts w:ascii="Calibri" w:eastAsia="Calibri" w:hAnsi="Calibri"/>
                <w:sz w:val="22"/>
                <w:szCs w:val="22"/>
                <w:lang w:val="tr-TR"/>
              </w:rPr>
            </w:pPr>
          </w:p>
        </w:tc>
        <w:tc>
          <w:tcPr>
            <w:tcW w:w="6429" w:type="dxa"/>
            <w:shd w:val="clear" w:color="auto" w:fill="auto"/>
          </w:tcPr>
          <w:p w:rsidR="00392ED6" w:rsidRPr="00392ED6" w:rsidRDefault="00392ED6" w:rsidP="00392ED6">
            <w:pPr>
              <w:rPr>
                <w:rFonts w:ascii="Calibri" w:eastAsia="Calibri" w:hAnsi="Calibri"/>
                <w:sz w:val="22"/>
                <w:szCs w:val="22"/>
                <w:lang w:val="tr-TR"/>
              </w:rPr>
            </w:pPr>
          </w:p>
          <w:p w:rsidR="00392ED6" w:rsidRPr="00392ED6" w:rsidRDefault="00392ED6" w:rsidP="00392ED6">
            <w:pPr>
              <w:rPr>
                <w:rFonts w:eastAsia="Calibri"/>
                <w:lang w:val="tr-TR"/>
              </w:rPr>
            </w:pPr>
            <w:r w:rsidRPr="00392ED6">
              <w:rPr>
                <w:rFonts w:eastAsia="Calibri"/>
                <w:lang w:val="tr-TR"/>
              </w:rPr>
              <w:t>Ölüm</w:t>
            </w:r>
          </w:p>
        </w:tc>
      </w:tr>
    </w:tbl>
    <w:p w:rsidR="00392ED6" w:rsidRPr="00392ED6" w:rsidRDefault="00392ED6" w:rsidP="00392ED6">
      <w:pPr>
        <w:spacing w:after="200" w:line="360" w:lineRule="auto"/>
        <w:jc w:val="both"/>
        <w:rPr>
          <w:rFonts w:eastAsia="Calibri"/>
          <w:b/>
          <w:lang w:val="tr-TR" w:eastAsia="tr-TR"/>
        </w:rPr>
      </w:pPr>
    </w:p>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Nitrik oksit ve Periferik Vasküler Rezistans Teorisi</w:t>
      </w:r>
    </w:p>
    <w:p w:rsidR="00392ED6" w:rsidRPr="00392ED6" w:rsidRDefault="00392ED6" w:rsidP="00392ED6">
      <w:pPr>
        <w:spacing w:after="200" w:line="360" w:lineRule="auto"/>
        <w:ind w:firstLine="708"/>
        <w:jc w:val="both"/>
        <w:rPr>
          <w:rFonts w:eastAsia="Calibri"/>
          <w:lang w:val="tr-TR" w:eastAsia="tr-TR"/>
        </w:rPr>
      </w:pPr>
      <w:r w:rsidRPr="00392ED6">
        <w:rPr>
          <w:rFonts w:eastAsia="Calibri"/>
          <w:lang w:val="tr-TR" w:eastAsia="tr-TR"/>
        </w:rPr>
        <w:t xml:space="preserve">Farelerde VEGF’nin intravenöz olarak verilmesinin NO ve prostosiklin sentezi üzerinden doza bağımlı olarak kan basıncının düşüşüne yol açtığı gösterilmiştir ayrıca koroner </w:t>
      </w:r>
      <w:r w:rsidRPr="00392ED6">
        <w:rPr>
          <w:rFonts w:eastAsia="Calibri"/>
          <w:lang w:val="tr-TR" w:eastAsia="tr-TR"/>
        </w:rPr>
        <w:lastRenderedPageBreak/>
        <w:t xml:space="preserve">arter hastalığı olanlarda VEGF infüzyonuyla kan basıncında düşüş eğilimi olduğu gösterilmiştir (73-75). Bu sonuçlar VEGF’nin endotel hücrelerinde NO sentezini artırarak vazodilatör etki yaptığını desteklemektedir. Bevacizumab ilişkili VEGF inhibisyonu NO sentezinde düşüşe yol açacaktır ve bu durum vasküler gerginlikte artış bununla ilişkili vazokonstriksiyon ve renal sodyum atılımında azalmaya yol açarak kan basıncının yükseltecektir (71,76). Bu hipotez bevacizumab tedavisi altındayken hipertansiyon gelişen hastaların tedavinin kesilmesiyle kan basınçlarının normal sınırlara gerilemesiyle desteklenmektedir. </w:t>
      </w:r>
    </w:p>
    <w:p w:rsidR="00392ED6" w:rsidRPr="00392ED6" w:rsidRDefault="00392ED6" w:rsidP="00392ED6">
      <w:pPr>
        <w:spacing w:after="200" w:line="360" w:lineRule="auto"/>
        <w:ind w:firstLine="708"/>
        <w:jc w:val="both"/>
        <w:rPr>
          <w:rFonts w:eastAsia="Calibri"/>
          <w:lang w:val="tr-TR" w:eastAsia="tr-TR"/>
        </w:rPr>
      </w:pPr>
      <w:r w:rsidRPr="00392ED6">
        <w:rPr>
          <w:rFonts w:eastAsia="Calibri"/>
          <w:lang w:val="tr-TR" w:eastAsia="tr-TR"/>
        </w:rPr>
        <w:t xml:space="preserve">Bir diğer muhtemel mekanizma vasküler yoğunlukta azalma olabilir. VEGF </w:t>
      </w:r>
      <w:proofErr w:type="gramStart"/>
      <w:r w:rsidRPr="00392ED6">
        <w:rPr>
          <w:rFonts w:eastAsia="Calibri"/>
          <w:lang w:val="tr-TR" w:eastAsia="tr-TR"/>
        </w:rPr>
        <w:t>inhibisyonu  arteriyol</w:t>
      </w:r>
      <w:proofErr w:type="gramEnd"/>
      <w:r w:rsidRPr="00392ED6">
        <w:rPr>
          <w:rFonts w:eastAsia="Calibri"/>
          <w:lang w:val="tr-TR" w:eastAsia="tr-TR"/>
        </w:rPr>
        <w:t xml:space="preserve"> ve kapiller sayısında fonksiyonel azalmaya ve bu durumda artmış periferik vasküler direnç ve kan basıncına sebep olabilir (77).  Mourad ve arkadaşları dermal kapiller yoğunluğunu bevacizumab kullanan hastalarda tedavi öncesi ve tedavinin 6. ayında incelemişler ve bu hastalarda 6. ayda kan basıncında belirgin bir artış gözlemlenirken dermal kapiller yoğunluğunda ve pilokarpin ilişkili vazodilatasyonda belirgin bir azalma saptamışlardır. Sonuç olarak araştırıcılar bevacizumab tedavisinin endotelyal disfonksiyonve kapiller seyrekleşmeye yol açtığı kanısına varmışlardır (Şekil.3).</w:t>
      </w:r>
    </w:p>
    <w:p w:rsidR="00392ED6" w:rsidRPr="00392ED6" w:rsidRDefault="00392ED6" w:rsidP="00392ED6">
      <w:pPr>
        <w:spacing w:after="200" w:line="360" w:lineRule="auto"/>
        <w:ind w:firstLine="708"/>
        <w:jc w:val="both"/>
        <w:rPr>
          <w:rFonts w:eastAsia="Calibri"/>
          <w:lang w:val="tr-TR" w:eastAsia="tr-TR"/>
        </w:rPr>
      </w:pPr>
    </w:p>
    <w:p w:rsidR="00392ED6" w:rsidRPr="00392ED6" w:rsidRDefault="00392ED6" w:rsidP="00392ED6">
      <w:pPr>
        <w:spacing w:after="200" w:line="360" w:lineRule="auto"/>
        <w:ind w:firstLine="708"/>
        <w:jc w:val="both"/>
        <w:rPr>
          <w:rFonts w:eastAsia="Calibri"/>
          <w:lang w:val="tr-TR" w:eastAsia="tr-TR"/>
        </w:rPr>
      </w:pPr>
    </w:p>
    <w:p w:rsidR="00392ED6" w:rsidRPr="00392ED6" w:rsidRDefault="00392ED6" w:rsidP="00392ED6">
      <w:pPr>
        <w:spacing w:after="200" w:line="360" w:lineRule="auto"/>
        <w:ind w:firstLine="708"/>
        <w:jc w:val="both"/>
        <w:rPr>
          <w:rFonts w:eastAsia="Calibri"/>
          <w:lang w:val="tr-TR" w:eastAsia="tr-TR"/>
        </w:rPr>
      </w:pPr>
      <w:r>
        <w:rPr>
          <w:rFonts w:eastAsia="Calibri"/>
          <w:noProof/>
          <w:lang w:val="tr-TR" w:eastAsia="tr-TR"/>
        </w:rPr>
        <w:lastRenderedPageBreak/>
        <w:drawing>
          <wp:inline distT="0" distB="0" distL="0" distR="0">
            <wp:extent cx="6036945" cy="4284345"/>
            <wp:effectExtent l="0" t="0" r="0" b="0"/>
            <wp:docPr id="13"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36945" cy="4284345"/>
                    </a:xfrm>
                    <a:prstGeom prst="rect">
                      <a:avLst/>
                    </a:prstGeom>
                    <a:noFill/>
                    <a:ln>
                      <a:noFill/>
                    </a:ln>
                  </pic:spPr>
                </pic:pic>
              </a:graphicData>
            </a:graphic>
          </wp:inline>
        </w:drawing>
      </w:r>
    </w:p>
    <w:p w:rsidR="00392ED6" w:rsidRPr="00392ED6" w:rsidRDefault="00392ED6" w:rsidP="00392ED6">
      <w:pPr>
        <w:spacing w:line="360" w:lineRule="auto"/>
        <w:jc w:val="both"/>
        <w:rPr>
          <w:rFonts w:eastAsia="Calibri"/>
          <w:lang w:val="tr-TR" w:eastAsia="tr-TR"/>
        </w:rPr>
      </w:pPr>
      <w:r w:rsidRPr="00392ED6">
        <w:rPr>
          <w:b/>
          <w:bCs/>
          <w:color w:val="000000"/>
          <w:lang w:val="tr-TR" w:eastAsia="tr-TR"/>
        </w:rPr>
        <w:t>Şekil.3 VEGF inhibitörleriyle gelişen hipertansiyonun mekanizması</w:t>
      </w:r>
    </w:p>
    <w:p w:rsidR="00392ED6" w:rsidRPr="00392ED6" w:rsidRDefault="00392ED6" w:rsidP="00392ED6">
      <w:pPr>
        <w:spacing w:after="200" w:line="360" w:lineRule="auto"/>
        <w:jc w:val="both"/>
        <w:rPr>
          <w:rFonts w:eastAsia="Calibri"/>
          <w:b/>
          <w:lang w:val="tr-TR" w:eastAsia="tr-TR"/>
        </w:rPr>
      </w:pPr>
    </w:p>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Renal Yetmezlik Teorisi</w:t>
      </w:r>
    </w:p>
    <w:p w:rsidR="00392ED6" w:rsidRPr="00392ED6" w:rsidRDefault="00392ED6" w:rsidP="00392ED6">
      <w:pPr>
        <w:spacing w:after="200" w:line="360" w:lineRule="auto"/>
        <w:ind w:firstLine="708"/>
        <w:jc w:val="both"/>
        <w:rPr>
          <w:rFonts w:eastAsia="Calibri"/>
          <w:lang w:val="tr-TR" w:eastAsia="tr-TR"/>
        </w:rPr>
      </w:pPr>
      <w:r w:rsidRPr="00392ED6">
        <w:rPr>
          <w:rFonts w:eastAsia="Calibri"/>
          <w:lang w:val="tr-TR" w:eastAsia="tr-TR"/>
        </w:rPr>
        <w:t xml:space="preserve">VEGF ve VEGFR’leri böbreklerde yoğun olarak eksprese edilirler. VEGF podosit ve glomerüllerde VEGFR’leri ise endotelyal, mezengial ve peritübüler kapiller hücrelerde yer alır. VEGF mezengial ve endotelyal hücrelerde proliferasyon, diferansiyasyon ve yaşam fonksiyonları üzerinden glomerüler yapı ve fonksiyon üzerinde kritik rol oynar. VEGF yokluğunda podosit ve endotelyal hücreler gelişemez sonuç olarak glomerüler filtrasyon etkilenir. Anti VEGF </w:t>
      </w:r>
      <w:proofErr w:type="gramStart"/>
      <w:r w:rsidRPr="00392ED6">
        <w:rPr>
          <w:rFonts w:eastAsia="Calibri"/>
          <w:lang w:val="tr-TR" w:eastAsia="tr-TR"/>
        </w:rPr>
        <w:t>infüzyonu  ilişkili</w:t>
      </w:r>
      <w:proofErr w:type="gramEnd"/>
      <w:r w:rsidRPr="00392ED6">
        <w:rPr>
          <w:rFonts w:eastAsia="Calibri"/>
          <w:lang w:val="tr-TR" w:eastAsia="tr-TR"/>
        </w:rPr>
        <w:t xml:space="preserve"> böbrek hastalığı nefrotik sınırda proteinüri, endotelyozis, glomerulosklerozis ve hyalin depozit şeklindedir (78). </w:t>
      </w:r>
      <w:proofErr w:type="gramStart"/>
      <w:r w:rsidRPr="00392ED6">
        <w:rPr>
          <w:rFonts w:eastAsia="Calibri"/>
          <w:lang w:val="tr-TR" w:eastAsia="tr-TR"/>
        </w:rPr>
        <w:t>Podositlerdeki  VEGFA</w:t>
      </w:r>
      <w:proofErr w:type="gramEnd"/>
      <w:r w:rsidRPr="00392ED6">
        <w:rPr>
          <w:rFonts w:eastAsia="Calibri"/>
          <w:lang w:val="tr-TR" w:eastAsia="tr-TR"/>
        </w:rPr>
        <w:t xml:space="preserve"> düzeyindeki azalma glomerül hücrelerinde kayıba ve bu durum da mezengiyolozise yol açar. Hipertansiyon ilişkili intraglomerüler basınçtaki artış bevacizumab ilişkili proteinürinin bir nedeni olabilir. Bununla birlikte VEGFA </w:t>
      </w:r>
      <w:proofErr w:type="gramStart"/>
      <w:r w:rsidRPr="00392ED6">
        <w:rPr>
          <w:rFonts w:eastAsia="Calibri"/>
          <w:lang w:val="tr-TR" w:eastAsia="tr-TR"/>
        </w:rPr>
        <w:t>blokajı  ilişkili</w:t>
      </w:r>
      <w:proofErr w:type="gramEnd"/>
      <w:r w:rsidRPr="00392ED6">
        <w:rPr>
          <w:rFonts w:eastAsia="Calibri"/>
          <w:lang w:val="tr-TR" w:eastAsia="tr-TR"/>
        </w:rPr>
        <w:t xml:space="preserve"> hipertansiyon, renal hasar ve proteinüri birbirini negatif geri besleme ile artırır ve olayın ilerlemesine yol açar (79). </w:t>
      </w:r>
    </w:p>
    <w:p w:rsidR="00392ED6" w:rsidRPr="00392ED6" w:rsidRDefault="00392ED6" w:rsidP="00392ED6">
      <w:pPr>
        <w:spacing w:after="200" w:line="360" w:lineRule="auto"/>
        <w:jc w:val="both"/>
        <w:rPr>
          <w:rFonts w:eastAsia="Calibri"/>
          <w:lang w:val="tr-TR" w:eastAsia="tr-TR"/>
        </w:rPr>
      </w:pPr>
      <w:r>
        <w:rPr>
          <w:rFonts w:eastAsia="Calibri"/>
          <w:noProof/>
          <w:lang w:val="tr-TR" w:eastAsia="tr-TR"/>
        </w:rPr>
        <w:lastRenderedPageBreak/>
        <w:drawing>
          <wp:inline distT="0" distB="0" distL="0" distR="0">
            <wp:extent cx="5757545" cy="4309745"/>
            <wp:effectExtent l="0" t="0" r="0"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7545" cy="4309745"/>
                    </a:xfrm>
                    <a:prstGeom prst="rect">
                      <a:avLst/>
                    </a:prstGeom>
                    <a:noFill/>
                    <a:ln>
                      <a:noFill/>
                    </a:ln>
                  </pic:spPr>
                </pic:pic>
              </a:graphicData>
            </a:graphic>
          </wp:inline>
        </w:drawing>
      </w:r>
    </w:p>
    <w:p w:rsidR="00392ED6" w:rsidRPr="00392ED6" w:rsidRDefault="00392ED6" w:rsidP="00392ED6">
      <w:pPr>
        <w:spacing w:line="360" w:lineRule="auto"/>
        <w:jc w:val="both"/>
        <w:rPr>
          <w:b/>
          <w:bCs/>
          <w:color w:val="000000"/>
          <w:lang w:val="tr-TR" w:eastAsia="tr-TR"/>
        </w:rPr>
      </w:pPr>
      <w:r w:rsidRPr="00392ED6">
        <w:rPr>
          <w:b/>
          <w:bCs/>
          <w:color w:val="000000"/>
          <w:lang w:val="tr-TR" w:eastAsia="tr-TR"/>
        </w:rPr>
        <w:t>Şekil.4 VEGF ve VEGFR Renal Ekspresyonu</w:t>
      </w:r>
    </w:p>
    <w:p w:rsidR="00392ED6" w:rsidRPr="00392ED6" w:rsidRDefault="00392ED6" w:rsidP="00392ED6">
      <w:pPr>
        <w:spacing w:line="360" w:lineRule="auto"/>
        <w:jc w:val="both"/>
        <w:rPr>
          <w:b/>
          <w:bCs/>
          <w:color w:val="000000"/>
          <w:u w:val="single"/>
          <w:lang w:val="tr-TR" w:eastAsia="tr-TR"/>
        </w:rPr>
      </w:pPr>
    </w:p>
    <w:p w:rsidR="00392ED6" w:rsidRPr="00392ED6" w:rsidRDefault="00392ED6" w:rsidP="00392ED6">
      <w:pPr>
        <w:spacing w:after="200" w:line="360" w:lineRule="auto"/>
        <w:jc w:val="both"/>
        <w:rPr>
          <w:rFonts w:eastAsia="Calibri"/>
          <w:b/>
          <w:lang w:val="tr-TR" w:eastAsia="tr-TR"/>
        </w:rPr>
      </w:pPr>
    </w:p>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t>Pre-Eklempsi Benzeri Teori</w:t>
      </w:r>
    </w:p>
    <w:p w:rsidR="00392ED6" w:rsidRPr="00392ED6" w:rsidRDefault="00392ED6" w:rsidP="00392ED6">
      <w:pPr>
        <w:spacing w:after="200" w:line="360" w:lineRule="auto"/>
        <w:ind w:firstLine="708"/>
        <w:jc w:val="both"/>
        <w:rPr>
          <w:rFonts w:eastAsia="Calibri"/>
          <w:lang w:val="tr-TR" w:eastAsia="tr-TR"/>
        </w:rPr>
      </w:pPr>
      <w:r w:rsidRPr="00392ED6">
        <w:rPr>
          <w:rFonts w:eastAsia="Calibri"/>
          <w:lang w:val="tr-TR" w:eastAsia="tr-TR"/>
        </w:rPr>
        <w:t xml:space="preserve">Son </w:t>
      </w:r>
      <w:proofErr w:type="gramStart"/>
      <w:r w:rsidRPr="00392ED6">
        <w:rPr>
          <w:rFonts w:eastAsia="Calibri"/>
          <w:lang w:val="tr-TR" w:eastAsia="tr-TR"/>
        </w:rPr>
        <w:t>çalışmalar  anti</w:t>
      </w:r>
      <w:proofErr w:type="gramEnd"/>
      <w:r w:rsidRPr="00392ED6">
        <w:rPr>
          <w:rFonts w:eastAsia="Calibri"/>
          <w:lang w:val="tr-TR" w:eastAsia="tr-TR"/>
        </w:rPr>
        <w:t xml:space="preserve"> VEGF tedavisi alan hastalarda daha fazla hipertansiyon ve proteinüri olduğunu göstermiştir. Pre eklempsi </w:t>
      </w:r>
      <w:proofErr w:type="gramStart"/>
      <w:r w:rsidRPr="00392ED6">
        <w:rPr>
          <w:rFonts w:eastAsia="Calibri"/>
          <w:lang w:val="tr-TR" w:eastAsia="tr-TR"/>
        </w:rPr>
        <w:t>gelişen  gebeliklerde</w:t>
      </w:r>
      <w:proofErr w:type="gramEnd"/>
      <w:r w:rsidRPr="00392ED6">
        <w:rPr>
          <w:rFonts w:eastAsia="Calibri"/>
          <w:lang w:val="tr-TR" w:eastAsia="tr-TR"/>
        </w:rPr>
        <w:t xml:space="preserve"> ise serbest VEGFR1 düzeyleri artar ve bu durum VEGF yolağını bloke ederek endotelyal hücre disfonksiyonu, hipertansiyon ve proteinüriye yol açar. Endotelyal hücre yaşamı için elzem bir faktör olan VEGF’nin fizyolojik seviyelerinin </w:t>
      </w:r>
      <w:proofErr w:type="gramStart"/>
      <w:r w:rsidRPr="00392ED6">
        <w:rPr>
          <w:rFonts w:eastAsia="Calibri"/>
          <w:lang w:val="tr-TR" w:eastAsia="tr-TR"/>
        </w:rPr>
        <w:t>nötralizasyonu</w:t>
      </w:r>
      <w:proofErr w:type="gramEnd"/>
      <w:r w:rsidRPr="00392ED6">
        <w:rPr>
          <w:rFonts w:eastAsia="Calibri"/>
          <w:lang w:val="tr-TR" w:eastAsia="tr-TR"/>
        </w:rPr>
        <w:t xml:space="preserve"> sonuçta proteinüriye yol açar (80). Preeklempside fizyopatolojik olarak gerçekleşen bu duruma benzer bir tablo anti VEGF tedavisi alan hastalarda iyatrojenik olarak gerçekleşmektedir (81).</w:t>
      </w:r>
    </w:p>
    <w:p w:rsidR="00392ED6" w:rsidRPr="00392ED6" w:rsidRDefault="00392ED6" w:rsidP="00392ED6">
      <w:pPr>
        <w:spacing w:after="200" w:line="360" w:lineRule="auto"/>
        <w:ind w:firstLine="708"/>
        <w:jc w:val="both"/>
        <w:rPr>
          <w:rFonts w:eastAsia="Calibri"/>
          <w:lang w:val="tr-TR" w:eastAsia="tr-TR"/>
        </w:rPr>
      </w:pPr>
    </w:p>
    <w:p w:rsidR="00392ED6" w:rsidRPr="00392ED6" w:rsidRDefault="00392ED6" w:rsidP="00392ED6">
      <w:pPr>
        <w:spacing w:after="200" w:line="360" w:lineRule="auto"/>
        <w:ind w:firstLine="708"/>
        <w:jc w:val="both"/>
        <w:rPr>
          <w:rFonts w:eastAsia="Calibri"/>
          <w:lang w:val="tr-TR" w:eastAsia="tr-TR"/>
        </w:rPr>
      </w:pPr>
    </w:p>
    <w:p w:rsidR="00392ED6" w:rsidRPr="00392ED6" w:rsidRDefault="00392ED6" w:rsidP="00392ED6">
      <w:pPr>
        <w:spacing w:after="200" w:line="360" w:lineRule="auto"/>
        <w:ind w:firstLine="708"/>
        <w:jc w:val="both"/>
        <w:rPr>
          <w:rFonts w:eastAsia="Calibri"/>
          <w:lang w:val="tr-TR" w:eastAsia="tr-TR"/>
        </w:rPr>
      </w:pPr>
    </w:p>
    <w:p w:rsidR="00392ED6" w:rsidRPr="00392ED6" w:rsidRDefault="00392ED6" w:rsidP="00392ED6">
      <w:pPr>
        <w:spacing w:line="360" w:lineRule="auto"/>
        <w:jc w:val="both"/>
        <w:rPr>
          <w:b/>
          <w:bCs/>
          <w:color w:val="000000"/>
          <w:lang w:val="tr-TR" w:eastAsia="tr-TR"/>
        </w:rPr>
      </w:pPr>
      <w:r w:rsidRPr="00392ED6">
        <w:rPr>
          <w:b/>
          <w:bCs/>
          <w:color w:val="000000"/>
          <w:lang w:val="tr-TR" w:eastAsia="tr-TR"/>
        </w:rPr>
        <w:lastRenderedPageBreak/>
        <w:t>Tablo.3 Bevacizumab ilişkili hipertansiyonun faz III çalışmalarda insidansı</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01"/>
        <w:gridCol w:w="2126"/>
        <w:gridCol w:w="2977"/>
        <w:gridCol w:w="567"/>
        <w:gridCol w:w="2551"/>
      </w:tblGrid>
      <w:tr w:rsidR="00392ED6" w:rsidRPr="00392ED6" w:rsidTr="00392ED6">
        <w:trPr>
          <w:trHeight w:val="1255"/>
        </w:trPr>
        <w:tc>
          <w:tcPr>
            <w:tcW w:w="1101"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HASTALIK</w:t>
            </w:r>
          </w:p>
          <w:p w:rsidR="00392ED6" w:rsidRPr="00392ED6" w:rsidRDefault="00392ED6" w:rsidP="00392ED6">
            <w:pPr>
              <w:spacing w:after="200" w:line="276" w:lineRule="auto"/>
              <w:rPr>
                <w:rFonts w:ascii="Calibri" w:eastAsia="Calibri" w:hAnsi="Calibri" w:cs="Calibri"/>
                <w:sz w:val="22"/>
                <w:szCs w:val="22"/>
              </w:rPr>
            </w:pPr>
          </w:p>
        </w:tc>
        <w:tc>
          <w:tcPr>
            <w:tcW w:w="2126"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YAZAR</w:t>
            </w:r>
          </w:p>
        </w:tc>
        <w:tc>
          <w:tcPr>
            <w:tcW w:w="2977"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UYGULANAN</w:t>
            </w:r>
            <w:r w:rsidRPr="00392ED6">
              <w:rPr>
                <w:rFonts w:ascii="Calibri" w:eastAsia="Calibri" w:hAnsi="Calibri" w:cs="Calibri"/>
                <w:sz w:val="22"/>
                <w:szCs w:val="22"/>
              </w:rPr>
              <w:br/>
              <w:t xml:space="preserve">      REJİM</w:t>
            </w:r>
          </w:p>
        </w:tc>
        <w:tc>
          <w:tcPr>
            <w:tcW w:w="567"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HASTA (n)</w:t>
            </w:r>
          </w:p>
        </w:tc>
        <w:tc>
          <w:tcPr>
            <w:tcW w:w="2551"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HİPERTANSİYON %</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Tüm Evreler      Evre  3/4</w:t>
            </w:r>
          </w:p>
        </w:tc>
      </w:tr>
      <w:tr w:rsidR="00392ED6" w:rsidRPr="00392ED6" w:rsidTr="00392ED6">
        <w:trPr>
          <w:trHeight w:val="3574"/>
        </w:trPr>
        <w:tc>
          <w:tcPr>
            <w:tcW w:w="1101"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mKRK      </w:t>
            </w: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p>
        </w:tc>
        <w:tc>
          <w:tcPr>
            <w:tcW w:w="2126"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Hurwitz et al</w:t>
            </w: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Hurwitz et al</w:t>
            </w: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Giantonio et al</w:t>
            </w: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p>
        </w:tc>
        <w:tc>
          <w:tcPr>
            <w:tcW w:w="2977"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IFL</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IFL + beva 5 mg/kg</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Plasebo + IFL</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5 FU + Leuc + beva 5mg/kg</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FOLFOX4</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FOLFOX4 + beva 10 mg/kg</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Beva 10 mg/kg</w:t>
            </w:r>
          </w:p>
        </w:tc>
        <w:tc>
          <w:tcPr>
            <w:tcW w:w="567"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397</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393</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98</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109</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285</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287</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234</w:t>
            </w:r>
          </w:p>
        </w:tc>
        <w:tc>
          <w:tcPr>
            <w:tcW w:w="2551"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8.3                       2.3</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22.4                      8.3</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14.3                      3.1</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33.9                     18.3</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BD                        1.8</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BD                        6.2</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BD                        7.3</w:t>
            </w:r>
          </w:p>
        </w:tc>
      </w:tr>
      <w:tr w:rsidR="00392ED6" w:rsidRPr="00392ED6" w:rsidTr="00392ED6">
        <w:trPr>
          <w:trHeight w:val="900"/>
        </w:trPr>
        <w:tc>
          <w:tcPr>
            <w:tcW w:w="1101"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mRHK</w:t>
            </w:r>
          </w:p>
          <w:p w:rsidR="00392ED6" w:rsidRPr="00392ED6" w:rsidRDefault="00392ED6" w:rsidP="00392ED6">
            <w:pPr>
              <w:spacing w:after="200" w:line="276" w:lineRule="auto"/>
              <w:rPr>
                <w:rFonts w:ascii="Calibri" w:eastAsia="Calibri" w:hAnsi="Calibri" w:cs="Calibri"/>
                <w:sz w:val="22"/>
                <w:szCs w:val="22"/>
              </w:rPr>
            </w:pPr>
          </w:p>
        </w:tc>
        <w:tc>
          <w:tcPr>
            <w:tcW w:w="2126"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Escudier et al</w:t>
            </w:r>
          </w:p>
        </w:tc>
        <w:tc>
          <w:tcPr>
            <w:tcW w:w="2977"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Placebo + IFN alfa</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Beva 10 mg/kg + IFN alfa</w:t>
            </w:r>
          </w:p>
        </w:tc>
        <w:tc>
          <w:tcPr>
            <w:tcW w:w="567"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322</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327</w:t>
            </w:r>
          </w:p>
        </w:tc>
        <w:tc>
          <w:tcPr>
            <w:tcW w:w="2551"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9                           &lt;1</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26                           3</w:t>
            </w:r>
          </w:p>
        </w:tc>
      </w:tr>
      <w:tr w:rsidR="00392ED6" w:rsidRPr="00392ED6" w:rsidTr="00392ED6">
        <w:trPr>
          <w:trHeight w:val="2674"/>
        </w:trPr>
        <w:tc>
          <w:tcPr>
            <w:tcW w:w="1101"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KHDAK</w:t>
            </w: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p>
        </w:tc>
        <w:tc>
          <w:tcPr>
            <w:tcW w:w="2126"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Sandler et al</w:t>
            </w: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Reck et al</w:t>
            </w:r>
          </w:p>
        </w:tc>
        <w:tc>
          <w:tcPr>
            <w:tcW w:w="2977"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CDDD + paclitaxel</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CDDD + pac + beva 15/mg/kg</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CDDD + gems + placebo</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CDDP + gems + beva 7.5 mg/kg</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CDDP + gems + beva 15 mg/kg</w:t>
            </w:r>
          </w:p>
        </w:tc>
        <w:tc>
          <w:tcPr>
            <w:tcW w:w="567"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444</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444</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327</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330</w:t>
            </w: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329</w:t>
            </w:r>
          </w:p>
        </w:tc>
        <w:tc>
          <w:tcPr>
            <w:tcW w:w="2551"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BD                         0.7</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BD                         7</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BD                          2</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BD                          6</w:t>
            </w: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BD                          9       </w:t>
            </w:r>
          </w:p>
        </w:tc>
      </w:tr>
      <w:tr w:rsidR="00392ED6" w:rsidRPr="00392ED6" w:rsidTr="00392ED6">
        <w:trPr>
          <w:trHeight w:val="1801"/>
        </w:trPr>
        <w:tc>
          <w:tcPr>
            <w:tcW w:w="1101"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mMK</w:t>
            </w: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p>
        </w:tc>
        <w:tc>
          <w:tcPr>
            <w:tcW w:w="2126"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Miller et al</w:t>
            </w: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Miller et al</w:t>
            </w:r>
          </w:p>
        </w:tc>
        <w:tc>
          <w:tcPr>
            <w:tcW w:w="2977"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Kapesitabin</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Kapesitabin + beva 15 mg/kg</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Paclitaxel</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Paclitaxel + beva 15 mg/kg</w:t>
            </w:r>
          </w:p>
        </w:tc>
        <w:tc>
          <w:tcPr>
            <w:tcW w:w="567"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215</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247</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346</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365</w:t>
            </w:r>
          </w:p>
        </w:tc>
        <w:tc>
          <w:tcPr>
            <w:tcW w:w="2551" w:type="dxa"/>
            <w:shd w:val="clear" w:color="auto" w:fill="auto"/>
          </w:tcPr>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2.4                          0.5</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33.5                       17.9</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BD                           0</w:t>
            </w:r>
          </w:p>
          <w:p w:rsidR="00392ED6" w:rsidRPr="00392ED6" w:rsidRDefault="00392ED6" w:rsidP="00392ED6">
            <w:pPr>
              <w:spacing w:after="200" w:line="276" w:lineRule="auto"/>
              <w:rPr>
                <w:rFonts w:ascii="Calibri" w:eastAsia="Calibri" w:hAnsi="Calibri" w:cs="Calibri"/>
                <w:sz w:val="22"/>
                <w:szCs w:val="22"/>
              </w:rPr>
            </w:pPr>
            <w:r w:rsidRPr="00392ED6">
              <w:rPr>
                <w:rFonts w:ascii="Calibri" w:eastAsia="Calibri" w:hAnsi="Calibri" w:cs="Calibri"/>
                <w:sz w:val="22"/>
                <w:szCs w:val="22"/>
              </w:rPr>
              <w:t xml:space="preserve">         BD                        14.8</w:t>
            </w:r>
          </w:p>
        </w:tc>
      </w:tr>
    </w:tbl>
    <w:p w:rsidR="00392ED6" w:rsidRPr="00392ED6" w:rsidRDefault="00392ED6" w:rsidP="00392ED6">
      <w:pPr>
        <w:spacing w:after="200" w:line="360" w:lineRule="auto"/>
        <w:jc w:val="both"/>
        <w:rPr>
          <w:rFonts w:eastAsia="Calibri"/>
          <w:sz w:val="20"/>
          <w:szCs w:val="20"/>
          <w:lang w:val="tr-TR" w:eastAsia="tr-TR"/>
        </w:rPr>
      </w:pPr>
      <w:proofErr w:type="gramStart"/>
      <w:r w:rsidRPr="00392ED6">
        <w:rPr>
          <w:rFonts w:eastAsia="Calibri"/>
          <w:sz w:val="20"/>
          <w:szCs w:val="20"/>
          <w:lang w:val="tr-TR" w:eastAsia="tr-TR"/>
        </w:rPr>
        <w:t>BD:Belli</w:t>
      </w:r>
      <w:proofErr w:type="gramEnd"/>
      <w:r w:rsidRPr="00392ED6">
        <w:rPr>
          <w:rFonts w:eastAsia="Calibri"/>
          <w:sz w:val="20"/>
          <w:szCs w:val="20"/>
          <w:lang w:val="tr-TR" w:eastAsia="tr-TR"/>
        </w:rPr>
        <w:t xml:space="preserve"> Değil, mKRK: Metastatik kolorektal kanser, mRHK: Metastatik renal hücreli karsinom, KHDAK: Küçük hücre dışı akciğer kanseri, mMK: metastatik meme kanseri.</w:t>
      </w:r>
    </w:p>
    <w:p w:rsidR="00392ED6" w:rsidRPr="00392ED6" w:rsidRDefault="00392ED6" w:rsidP="00392ED6">
      <w:pPr>
        <w:spacing w:after="200" w:line="360" w:lineRule="auto"/>
        <w:jc w:val="both"/>
        <w:rPr>
          <w:rFonts w:eastAsia="Calibri"/>
          <w:b/>
          <w:lang w:val="tr-TR" w:eastAsia="tr-TR"/>
        </w:rPr>
      </w:pPr>
    </w:p>
    <w:p w:rsidR="00392ED6" w:rsidRPr="00392ED6" w:rsidRDefault="00392ED6" w:rsidP="00392ED6">
      <w:pPr>
        <w:spacing w:after="200" w:line="360" w:lineRule="auto"/>
        <w:jc w:val="both"/>
        <w:rPr>
          <w:rFonts w:eastAsia="Calibri"/>
          <w:b/>
          <w:lang w:val="tr-TR" w:eastAsia="tr-TR"/>
        </w:rPr>
      </w:pPr>
    </w:p>
    <w:p w:rsidR="00392ED6" w:rsidRPr="00392ED6" w:rsidRDefault="00392ED6" w:rsidP="00392ED6">
      <w:pPr>
        <w:spacing w:after="200" w:line="360" w:lineRule="auto"/>
        <w:jc w:val="both"/>
        <w:rPr>
          <w:rFonts w:eastAsia="Calibri"/>
          <w:b/>
          <w:lang w:val="tr-TR" w:eastAsia="tr-TR"/>
        </w:rPr>
      </w:pPr>
      <w:r w:rsidRPr="00392ED6">
        <w:rPr>
          <w:rFonts w:eastAsia="Calibri"/>
          <w:b/>
          <w:lang w:val="tr-TR" w:eastAsia="tr-TR"/>
        </w:rPr>
        <w:lastRenderedPageBreak/>
        <w:t>2.2.6.1.2. Bevacizumab İlişkili Diğer Yan Etkiler</w:t>
      </w:r>
    </w:p>
    <w:p w:rsidR="00392ED6" w:rsidRPr="00392ED6" w:rsidRDefault="00392ED6" w:rsidP="00392ED6">
      <w:pPr>
        <w:spacing w:after="200" w:line="360" w:lineRule="auto"/>
        <w:jc w:val="both"/>
        <w:rPr>
          <w:rFonts w:eastAsia="Calibri"/>
          <w:b/>
          <w:lang w:val="tr-TR"/>
        </w:rPr>
      </w:pPr>
      <w:r w:rsidRPr="00392ED6">
        <w:rPr>
          <w:rFonts w:eastAsia="Calibri"/>
          <w:b/>
          <w:lang w:val="tr-TR"/>
        </w:rPr>
        <w:t>Proteinüri</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Proteinüri ilk olarak bevacizumabın preklinik çalışmalarında saptanmıştır. Bu etkiden ana olarak sorumlu faktör VEGF ilişkili glomerüler vasküler permeabilitenin etkilenmesidir  (82). Faz3 çalışmalarda bevacizumabın olamadığı kollarda yaklaşık %22 civarında gözlemlenirken bevacizumabın eklendiği kollarda bu oran yaklaşık %35 civarında bulunmuştur (83). Vakaların birçoğunda proteinüri evre 1 olup hiçbir vakada ilaç dozu azaltılması veya kesilmesine neden olmamıştır.</w:t>
      </w:r>
    </w:p>
    <w:p w:rsidR="00392ED6" w:rsidRPr="00392ED6" w:rsidRDefault="00392ED6" w:rsidP="00392ED6">
      <w:pPr>
        <w:spacing w:after="200" w:line="360" w:lineRule="auto"/>
        <w:jc w:val="both"/>
        <w:rPr>
          <w:rFonts w:eastAsia="Calibri"/>
          <w:b/>
          <w:lang w:val="tr-TR"/>
        </w:rPr>
      </w:pPr>
      <w:r w:rsidRPr="00392ED6">
        <w:rPr>
          <w:rFonts w:eastAsia="Calibri"/>
          <w:b/>
          <w:lang w:val="tr-TR"/>
        </w:rPr>
        <w:t>Kanama</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Kolorektal kanserde yapılan faz3 çalışmalarda bevacizumab ilişkili mukozal kanama %23-36 arasında gözlenirken kontrol gruplarında bu durum %10-16 arasında saptanmıştır (83,84). Kanamaların çoğunluğu evre 1 olup grade 3 kanama vakaların ancak %1,9’da gözlenmiştir. Ancak akciğer kanserli vakalarda skuamöz histolojide bevacizumab kullanımı evre 4 (%31) fatal kanamalar ile sonuçlanmıştır (85).</w:t>
      </w:r>
    </w:p>
    <w:p w:rsidR="00392ED6" w:rsidRPr="00392ED6" w:rsidRDefault="00392ED6" w:rsidP="00392ED6">
      <w:pPr>
        <w:spacing w:after="200" w:line="360" w:lineRule="auto"/>
        <w:jc w:val="both"/>
        <w:rPr>
          <w:rFonts w:eastAsia="Calibri"/>
          <w:b/>
          <w:lang w:val="tr-TR"/>
        </w:rPr>
      </w:pPr>
      <w:r w:rsidRPr="00392ED6">
        <w:rPr>
          <w:rFonts w:eastAsia="Calibri"/>
          <w:b/>
          <w:lang w:val="tr-TR"/>
        </w:rPr>
        <w:t>Tromboz</w:t>
      </w:r>
    </w:p>
    <w:p w:rsidR="00392ED6" w:rsidRPr="00392ED6" w:rsidRDefault="00392ED6" w:rsidP="00392ED6">
      <w:pPr>
        <w:spacing w:after="200" w:line="360" w:lineRule="auto"/>
        <w:ind w:firstLine="708"/>
        <w:jc w:val="both"/>
        <w:rPr>
          <w:rFonts w:eastAsia="Calibri"/>
          <w:b/>
          <w:lang w:val="tr-TR"/>
        </w:rPr>
      </w:pPr>
      <w:r w:rsidRPr="00392ED6">
        <w:rPr>
          <w:rFonts w:eastAsia="Calibri"/>
          <w:lang w:val="tr-TR"/>
        </w:rPr>
        <w:t xml:space="preserve">Metastatik hastalığı olan vakalar malignensi ve sitotoksik </w:t>
      </w:r>
      <w:proofErr w:type="gramStart"/>
      <w:r w:rsidRPr="00392ED6">
        <w:rPr>
          <w:rFonts w:eastAsia="Calibri"/>
          <w:lang w:val="tr-TR"/>
        </w:rPr>
        <w:t>kemoterapinin</w:t>
      </w:r>
      <w:proofErr w:type="gramEnd"/>
      <w:r w:rsidRPr="00392ED6">
        <w:rPr>
          <w:rFonts w:eastAsia="Calibri"/>
          <w:lang w:val="tr-TR"/>
        </w:rPr>
        <w:t xml:space="preserve"> koagülasyon yolağını aktive etmesi nedeniyle tromboembolik olaylara karşı yatkınlıkları mevcuttur. Bevacizumabla yapılan faz 2 ve faz 3 çalışmalarda bevacizumab alan kollarda diğer kollara göre daha fazla serebrovasküler olay,  geçici iskemik atak ve miyokard infarktüsü riskine sahip olduğu gözlenmiştir. Yaklaşık 1745 bevacizumab kullanan bir hasta kayıt çalışmasında bevacizumab ilişkili thromboembolik olay riski %3,8 olarak saptanmıştır (86).</w:t>
      </w:r>
    </w:p>
    <w:p w:rsidR="00392ED6" w:rsidRPr="00392ED6" w:rsidRDefault="00392ED6" w:rsidP="00392ED6">
      <w:pPr>
        <w:spacing w:after="200" w:line="360" w:lineRule="auto"/>
        <w:jc w:val="both"/>
        <w:rPr>
          <w:rFonts w:eastAsia="Calibri"/>
          <w:b/>
          <w:lang w:val="tr-TR"/>
        </w:rPr>
      </w:pPr>
      <w:r w:rsidRPr="00392ED6">
        <w:rPr>
          <w:rFonts w:eastAsia="Calibri"/>
          <w:b/>
          <w:lang w:val="tr-TR"/>
        </w:rPr>
        <w:t>Yara İyileşmesi</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 xml:space="preserve">VEGF’nin yara iyileşmesinde fizyolojik olarak aktif bir molekül olması nedeniyle bevacizumab kullanımı yara iyileşmesinde bozulmaya yol açmaktadır. Karaciğer metastazları için neoadjuvan tedavi sonrası cerrahi yapılan vakalarda </w:t>
      </w:r>
      <w:proofErr w:type="gramStart"/>
      <w:r w:rsidRPr="00392ED6">
        <w:rPr>
          <w:rFonts w:eastAsia="Calibri"/>
          <w:lang w:val="tr-TR"/>
        </w:rPr>
        <w:t>ilacın  kullanımı</w:t>
      </w:r>
      <w:proofErr w:type="gramEnd"/>
      <w:r w:rsidRPr="00392ED6">
        <w:rPr>
          <w:rFonts w:eastAsia="Calibri"/>
          <w:lang w:val="tr-TR"/>
        </w:rPr>
        <w:t xml:space="preserve"> ile cerrahi arasında ortalama 56 günlük bir interval geçen vakalarda  postoperatif komplikasyonlar diğer koldan farklı olarak saptanmamıştır. İlacın yarılanma ömrünün yaklaşık 20 gün olması nedeniyle major cerrahi girişimlerden en az 6 hafta önce ilacın bırakılması gerekmektedir. </w:t>
      </w:r>
    </w:p>
    <w:p w:rsidR="00392ED6" w:rsidRPr="00392ED6" w:rsidRDefault="00392ED6" w:rsidP="00392ED6">
      <w:pPr>
        <w:spacing w:after="200" w:line="360" w:lineRule="auto"/>
        <w:ind w:firstLine="708"/>
        <w:jc w:val="both"/>
        <w:rPr>
          <w:rFonts w:eastAsia="Calibri"/>
          <w:lang w:val="tr-TR"/>
        </w:rPr>
      </w:pPr>
    </w:p>
    <w:p w:rsidR="00392ED6" w:rsidRPr="00392ED6" w:rsidRDefault="00392ED6" w:rsidP="00392ED6">
      <w:pPr>
        <w:spacing w:after="200" w:line="360" w:lineRule="auto"/>
        <w:jc w:val="both"/>
        <w:rPr>
          <w:rFonts w:eastAsia="Calibri"/>
          <w:b/>
          <w:lang w:val="tr-TR"/>
        </w:rPr>
      </w:pPr>
      <w:r w:rsidRPr="00392ED6">
        <w:rPr>
          <w:rFonts w:eastAsia="Calibri"/>
          <w:b/>
          <w:lang w:val="tr-TR"/>
        </w:rPr>
        <w:lastRenderedPageBreak/>
        <w:t>Barsak Perforasyonu</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Bevacizumabın hangi mekanizmayla perforasyona yol açtığı net olarak anlaşılamamış olsa da bildirilen tüm vakalarda perforasyon olan bölgede gastrik ülserasyon, tümör nekrozu, divertikülit veya tedavi ilişkili kolit gibi inflamatuar olayların oladuğu saptanmıştır (83). Bevacizumab almayan kollarda ise normal populasyona göre artmış perforasyon riski saptanmamıştır. Bildirilen perforasyon vakalarından üçü ölümle sonuçlanmış olup kayıt çalışmalarında gastrointestinal perforasyon sıklığı %1,7 olarak bildirilmiştir.</w:t>
      </w:r>
    </w:p>
    <w:p w:rsidR="00392ED6" w:rsidRPr="00392ED6" w:rsidRDefault="00392ED6" w:rsidP="00392ED6">
      <w:pPr>
        <w:spacing w:after="200" w:line="360" w:lineRule="auto"/>
        <w:jc w:val="both"/>
        <w:rPr>
          <w:rFonts w:eastAsia="Calibri"/>
          <w:b/>
          <w:lang w:val="tr-TR"/>
        </w:rPr>
      </w:pPr>
      <w:r w:rsidRPr="00392ED6">
        <w:rPr>
          <w:rFonts w:eastAsia="Calibri"/>
          <w:b/>
          <w:lang w:val="tr-TR"/>
        </w:rPr>
        <w:t>Geri Dönüşümlü Posterior Lökoensafalopati Sendromu</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 xml:space="preserve">Bu durum vasküler endotel </w:t>
      </w:r>
      <w:proofErr w:type="gramStart"/>
      <w:r w:rsidRPr="00392ED6">
        <w:rPr>
          <w:rFonts w:eastAsia="Calibri"/>
          <w:lang w:val="tr-TR"/>
        </w:rPr>
        <w:t>üzerinde  hipertansiyon</w:t>
      </w:r>
      <w:proofErr w:type="gramEnd"/>
      <w:r w:rsidRPr="00392ED6">
        <w:rPr>
          <w:rFonts w:eastAsia="Calibri"/>
          <w:lang w:val="tr-TR"/>
        </w:rPr>
        <w:t xml:space="preserve">, sıvı retansiyonu ve immunsupresif ilacın sitotoksik etkilerine bağlı beyin kapiller kaçış sendromu olup görülme sıklığı %0.1‘in altındadır. Tanı için MRG gerekli olup </w:t>
      </w:r>
      <w:proofErr w:type="gramStart"/>
      <w:r w:rsidRPr="00392ED6">
        <w:rPr>
          <w:rFonts w:eastAsia="Calibri"/>
          <w:lang w:val="tr-TR"/>
        </w:rPr>
        <w:t>semptomlar</w:t>
      </w:r>
      <w:proofErr w:type="gramEnd"/>
      <w:r w:rsidRPr="00392ED6">
        <w:rPr>
          <w:rFonts w:eastAsia="Calibri"/>
          <w:lang w:val="tr-TR"/>
        </w:rPr>
        <w:t xml:space="preserve"> sıklıkla ilacın kullanılmaya başlanmasından 16 saat ile 1 yıl içinde ortaya çıkar. Klinik bulgular arasında başağrısı, nöbetler, görmede bozulma ve şuur değişikliği yer alır. Sıklıkla ilacın kesilmesi ve hipertansiyonun kontrolüyle düzelen bu durumda ilacın tekrar başlanmasıyla ilgili veri yoktur (87).</w:t>
      </w:r>
    </w:p>
    <w:p w:rsidR="00392ED6" w:rsidRPr="00392ED6" w:rsidRDefault="00392ED6" w:rsidP="00392ED6">
      <w:pPr>
        <w:spacing w:after="200" w:line="360" w:lineRule="auto"/>
        <w:jc w:val="both"/>
        <w:rPr>
          <w:rFonts w:eastAsia="Calibri"/>
          <w:b/>
          <w:lang w:val="tr-TR"/>
        </w:rPr>
      </w:pPr>
    </w:p>
    <w:p w:rsidR="00392ED6" w:rsidRPr="00392ED6" w:rsidRDefault="00392ED6" w:rsidP="00392ED6">
      <w:pPr>
        <w:spacing w:after="200" w:line="360" w:lineRule="auto"/>
        <w:jc w:val="both"/>
        <w:rPr>
          <w:rFonts w:eastAsia="Calibri" w:cs="Calibri"/>
          <w:b/>
          <w:sz w:val="28"/>
          <w:szCs w:val="28"/>
        </w:rPr>
      </w:pPr>
    </w:p>
    <w:p w:rsidR="00392ED6" w:rsidRPr="00392ED6" w:rsidRDefault="00392ED6" w:rsidP="00392ED6">
      <w:pPr>
        <w:spacing w:after="200" w:line="360" w:lineRule="auto"/>
        <w:jc w:val="both"/>
        <w:rPr>
          <w:rFonts w:eastAsia="Calibri" w:cs="Calibri"/>
          <w:b/>
          <w:sz w:val="28"/>
          <w:szCs w:val="28"/>
        </w:rPr>
      </w:pPr>
    </w:p>
    <w:p w:rsidR="00392ED6" w:rsidRPr="00392ED6" w:rsidRDefault="00392ED6" w:rsidP="00392ED6">
      <w:pPr>
        <w:spacing w:after="200" w:line="360" w:lineRule="auto"/>
        <w:jc w:val="both"/>
        <w:rPr>
          <w:rFonts w:eastAsia="Calibri" w:cs="Calibri"/>
          <w:b/>
          <w:sz w:val="28"/>
          <w:szCs w:val="28"/>
        </w:rPr>
      </w:pPr>
    </w:p>
    <w:p w:rsidR="00392ED6" w:rsidRPr="00392ED6" w:rsidRDefault="00392ED6" w:rsidP="00392ED6">
      <w:pPr>
        <w:spacing w:after="200" w:line="360" w:lineRule="auto"/>
        <w:jc w:val="both"/>
        <w:rPr>
          <w:rFonts w:eastAsia="Calibri" w:cs="Calibri"/>
          <w:b/>
          <w:sz w:val="28"/>
          <w:szCs w:val="28"/>
        </w:rPr>
      </w:pPr>
    </w:p>
    <w:p w:rsidR="00392ED6" w:rsidRPr="00392ED6" w:rsidRDefault="00392ED6" w:rsidP="00392ED6">
      <w:pPr>
        <w:spacing w:after="200" w:line="360" w:lineRule="auto"/>
        <w:jc w:val="both"/>
        <w:rPr>
          <w:rFonts w:eastAsia="Calibri" w:cs="Calibri"/>
          <w:b/>
          <w:sz w:val="28"/>
          <w:szCs w:val="28"/>
        </w:rPr>
      </w:pPr>
    </w:p>
    <w:p w:rsidR="00392ED6" w:rsidRPr="00392ED6" w:rsidRDefault="00392ED6" w:rsidP="00392ED6">
      <w:pPr>
        <w:spacing w:after="200" w:line="360" w:lineRule="auto"/>
        <w:jc w:val="both"/>
        <w:rPr>
          <w:rFonts w:eastAsia="Calibri" w:cs="Calibri"/>
          <w:b/>
          <w:sz w:val="28"/>
          <w:szCs w:val="28"/>
        </w:rPr>
      </w:pPr>
    </w:p>
    <w:p w:rsidR="00392ED6" w:rsidRPr="00392ED6" w:rsidRDefault="00392ED6" w:rsidP="00392ED6">
      <w:pPr>
        <w:spacing w:after="200" w:line="360" w:lineRule="auto"/>
        <w:jc w:val="both"/>
        <w:rPr>
          <w:rFonts w:eastAsia="Calibri" w:cs="Calibri"/>
          <w:b/>
          <w:sz w:val="28"/>
          <w:szCs w:val="28"/>
        </w:rPr>
      </w:pPr>
    </w:p>
    <w:p w:rsidR="00392ED6" w:rsidRPr="00392ED6" w:rsidRDefault="00392ED6" w:rsidP="00392ED6">
      <w:pPr>
        <w:spacing w:after="200" w:line="360" w:lineRule="auto"/>
        <w:jc w:val="both"/>
        <w:rPr>
          <w:rFonts w:eastAsia="Calibri" w:cs="Calibri"/>
          <w:b/>
          <w:sz w:val="28"/>
          <w:szCs w:val="28"/>
        </w:rPr>
      </w:pPr>
    </w:p>
    <w:p w:rsidR="00392ED6" w:rsidRPr="00392ED6" w:rsidRDefault="00392ED6" w:rsidP="00392ED6">
      <w:pPr>
        <w:spacing w:after="200" w:line="360" w:lineRule="auto"/>
        <w:jc w:val="both"/>
        <w:rPr>
          <w:rFonts w:eastAsia="Calibri" w:cs="Calibri"/>
          <w:b/>
          <w:sz w:val="28"/>
          <w:szCs w:val="28"/>
        </w:rPr>
      </w:pPr>
    </w:p>
    <w:p w:rsidR="00392ED6" w:rsidRPr="00392ED6" w:rsidRDefault="00392ED6" w:rsidP="00392ED6">
      <w:pPr>
        <w:spacing w:after="200" w:line="360" w:lineRule="auto"/>
        <w:jc w:val="both"/>
        <w:rPr>
          <w:rFonts w:ascii="Calibri" w:eastAsia="Calibri" w:hAnsi="Calibri" w:cs="Calibri"/>
          <w:b/>
          <w:sz w:val="22"/>
          <w:szCs w:val="22"/>
          <w:lang w:val="tr-TR"/>
        </w:rPr>
      </w:pPr>
      <w:r w:rsidRPr="00392ED6">
        <w:rPr>
          <w:rFonts w:eastAsia="Calibri" w:cs="Calibri"/>
          <w:b/>
          <w:sz w:val="28"/>
          <w:szCs w:val="28"/>
        </w:rPr>
        <w:lastRenderedPageBreak/>
        <w:t>3. HASTALAR ve YÖNTEM</w:t>
      </w:r>
      <w:r w:rsidRPr="00392ED6">
        <w:rPr>
          <w:rFonts w:ascii="Calibri" w:eastAsia="Calibri" w:hAnsi="Calibri" w:cs="Calibri"/>
          <w:b/>
          <w:sz w:val="22"/>
          <w:szCs w:val="22"/>
          <w:lang w:val="tr-TR"/>
        </w:rPr>
        <w:tab/>
      </w:r>
    </w:p>
    <w:p w:rsidR="00392ED6" w:rsidRPr="00392ED6" w:rsidRDefault="00392ED6" w:rsidP="00392ED6">
      <w:pPr>
        <w:spacing w:after="200" w:line="360" w:lineRule="auto"/>
        <w:jc w:val="both"/>
        <w:rPr>
          <w:rFonts w:eastAsia="Calibri"/>
          <w:lang w:val="tr-TR"/>
        </w:rPr>
      </w:pPr>
      <w:r w:rsidRPr="00392ED6">
        <w:rPr>
          <w:rFonts w:eastAsia="Calibri"/>
          <w:lang w:val="tr-TR"/>
        </w:rPr>
        <w:tab/>
        <w:t xml:space="preserve">Başkent </w:t>
      </w:r>
      <w:proofErr w:type="gramStart"/>
      <w:r w:rsidRPr="00392ED6">
        <w:rPr>
          <w:rFonts w:eastAsia="Calibri"/>
          <w:lang w:val="tr-TR"/>
        </w:rPr>
        <w:t>Üniversitesi  Adana</w:t>
      </w:r>
      <w:proofErr w:type="gramEnd"/>
      <w:r w:rsidRPr="00392ED6">
        <w:rPr>
          <w:rFonts w:eastAsia="Calibri"/>
          <w:lang w:val="tr-TR"/>
        </w:rPr>
        <w:t xml:space="preserve"> Uygulama Araştırma Merkezi Tıbbi  Onkoloji BD polikliniğinde takip edilen  24 metastatik kolorektal kanserli hasta çalışmaya dahil edildi. Hastaların hepsinden bilgilendirilmiş onam formuna çalışma anlatıldıktan sonra onay alındı.</w:t>
      </w:r>
    </w:p>
    <w:p w:rsidR="00392ED6" w:rsidRPr="00392ED6" w:rsidRDefault="00392ED6" w:rsidP="00392ED6">
      <w:pPr>
        <w:spacing w:after="200" w:line="360" w:lineRule="auto"/>
        <w:jc w:val="both"/>
        <w:rPr>
          <w:rFonts w:eastAsia="Calibri"/>
          <w:lang w:val="tr-TR"/>
        </w:rPr>
      </w:pPr>
      <w:r w:rsidRPr="00392ED6">
        <w:rPr>
          <w:rFonts w:eastAsia="Calibri"/>
          <w:lang w:val="tr-TR"/>
        </w:rPr>
        <w:tab/>
        <w:t xml:space="preserve">Tüm hastaların ayrıntılı öyküsü ve fizik muayenesi yapıldı. Hastaların, en az beş dakika dinlendirildikten sonra oturur vaziyette, uygun manşon ile başlangıç kan basınçları ölçüldü ve kayıt edildi. Hastalara haftalık kan basıncı takiplerini bulundukları bölgede evde kendilerinin ölçmeleri veya aynı sağlık kuruluşunda ölçtürmeleri söylendi. Çıkan değerlerin kayıt edilmesi ile ilgili kan basıncı takip formu verildi. </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 xml:space="preserve">Çalışmaya </w:t>
      </w:r>
      <w:proofErr w:type="gramStart"/>
      <w:r w:rsidRPr="00392ED6">
        <w:rPr>
          <w:rFonts w:eastAsia="Calibri"/>
          <w:lang w:val="tr-TR"/>
        </w:rPr>
        <w:t>dahil</w:t>
      </w:r>
      <w:proofErr w:type="gramEnd"/>
      <w:r w:rsidRPr="00392ED6">
        <w:rPr>
          <w:rFonts w:eastAsia="Calibri"/>
          <w:lang w:val="tr-TR"/>
        </w:rPr>
        <w:t xml:space="preserve"> edilen hastaların tedavi öncesi tam idrar tetkikleri ve idrarda proteinurileri olup olmadığı, kan biyokimyası, tümör belirteçleri (CEA,Ca19.9) ve ayrıntılı uygun radyolojik görüntülemesi yapıldı (Spiral BT, MRG, PET BT). Her hastadan ayrıca 3 adet 3 mililitre kan örneği alınarak -20° C da saklandı. Biyokimyasal analizler, idrar tetkikleri ve tümör belirteçleri ara tedavilerde tekrarlandı. Altı doz tedavi sonrası başlangıç tetkikleri tekrarlandı. </w:t>
      </w:r>
      <w:proofErr w:type="gramStart"/>
      <w:r w:rsidRPr="00392ED6">
        <w:rPr>
          <w:rFonts w:eastAsia="Calibri"/>
          <w:lang w:val="tr-TR"/>
        </w:rPr>
        <w:t>Alınan  kan</w:t>
      </w:r>
      <w:proofErr w:type="gramEnd"/>
      <w:r w:rsidRPr="00392ED6">
        <w:rPr>
          <w:rFonts w:eastAsia="Calibri"/>
          <w:lang w:val="tr-TR"/>
        </w:rPr>
        <w:t xml:space="preserve"> örnekleri Başkent Üniversitesi Adana Uygulama Araştırma Merkezi Merkez Labaratuarı’nda incelendi.</w:t>
      </w:r>
    </w:p>
    <w:p w:rsidR="00392ED6" w:rsidRPr="00392ED6" w:rsidRDefault="00392ED6" w:rsidP="00392ED6">
      <w:pPr>
        <w:spacing w:after="200" w:line="360" w:lineRule="auto"/>
        <w:jc w:val="both"/>
        <w:rPr>
          <w:rFonts w:eastAsia="Calibri"/>
          <w:lang w:val="tr-TR"/>
        </w:rPr>
      </w:pPr>
      <w:r w:rsidRPr="00392ED6">
        <w:rPr>
          <w:rFonts w:eastAsia="Calibri"/>
          <w:lang w:val="tr-TR"/>
        </w:rPr>
        <w:tab/>
        <w:t xml:space="preserve">Bu çalışmada ELİSA yöntemi ile Human VEGFA, Nitrik </w:t>
      </w:r>
      <w:proofErr w:type="gramStart"/>
      <w:r w:rsidRPr="00392ED6">
        <w:rPr>
          <w:rFonts w:eastAsia="Calibri"/>
          <w:lang w:val="tr-TR"/>
        </w:rPr>
        <w:t>Oksit,</w:t>
      </w:r>
      <w:proofErr w:type="gramEnd"/>
      <w:r w:rsidRPr="00392ED6">
        <w:rPr>
          <w:rFonts w:eastAsia="Calibri"/>
          <w:lang w:val="tr-TR"/>
        </w:rPr>
        <w:t xml:space="preserve"> ve Anjiotensin II düzeyleri tespit edildi. İlk olarak test edilecek hastalardan içerisinde jel bulunan kırmızı kapaklı biyokimya tüplerine 3 mililitre kan örneği alınarak </w:t>
      </w:r>
      <w:proofErr w:type="gramStart"/>
      <w:r w:rsidRPr="00392ED6">
        <w:rPr>
          <w:rFonts w:eastAsia="Calibri"/>
          <w:lang w:val="tr-TR"/>
        </w:rPr>
        <w:t>santrifüjde</w:t>
      </w:r>
      <w:proofErr w:type="gramEnd"/>
      <w:r w:rsidRPr="00392ED6">
        <w:rPr>
          <w:rFonts w:eastAsia="Calibri"/>
          <w:lang w:val="tr-TR"/>
        </w:rPr>
        <w:t xml:space="preserve"> 5 dakika 3000 devirde çöktürme işlemi gerçekleştirildikten sonra üstte kalan serum kısmı ayrı tüpe alınarak çalışma gününe kadar -20 ˚C’de saklandı. Çalışılacak testlerin standartları ilk aşamada </w:t>
      </w:r>
      <w:proofErr w:type="gramStart"/>
      <w:r w:rsidRPr="00392ED6">
        <w:rPr>
          <w:rFonts w:eastAsia="Calibri"/>
          <w:lang w:val="tr-TR"/>
        </w:rPr>
        <w:t>prosedürde</w:t>
      </w:r>
      <w:proofErr w:type="gramEnd"/>
      <w:r w:rsidRPr="00392ED6">
        <w:rPr>
          <w:rFonts w:eastAsia="Calibri"/>
          <w:lang w:val="tr-TR"/>
        </w:rPr>
        <w:t xml:space="preserve"> belirtildiği şekilde hazırlandıktan sonra Mikro ELİSA yöntemi ile Tritirus cihazında örnekleri, standartlar, konjugat, TMB substrat ve stop solüsyonları cihaza yerleştirilerek çalışıldı. Okuma işlemi istenilen nanometrelerde otomotik olarak cihaz tarafından gerçekleştirildi </w:t>
      </w:r>
    </w:p>
    <w:p w:rsidR="00392ED6" w:rsidRPr="00392ED6" w:rsidRDefault="00392ED6" w:rsidP="00392ED6">
      <w:pPr>
        <w:spacing w:after="200" w:line="360" w:lineRule="auto"/>
        <w:jc w:val="both"/>
        <w:rPr>
          <w:rFonts w:eastAsia="Calibri"/>
          <w:b/>
          <w:lang w:val="tr-TR"/>
        </w:rPr>
      </w:pPr>
      <w:r w:rsidRPr="00392ED6">
        <w:rPr>
          <w:rFonts w:eastAsia="Calibri"/>
          <w:b/>
          <w:lang w:val="tr-TR"/>
        </w:rPr>
        <w:t>Human VEGF-A Kiti hazırlık ve çalışma aşaması</w:t>
      </w:r>
    </w:p>
    <w:p w:rsidR="00392ED6" w:rsidRPr="00392ED6" w:rsidRDefault="00392ED6" w:rsidP="00392ED6">
      <w:pPr>
        <w:spacing w:after="200" w:line="360" w:lineRule="auto"/>
        <w:jc w:val="both"/>
        <w:rPr>
          <w:rFonts w:eastAsia="Calibri"/>
          <w:lang w:val="tr-TR"/>
        </w:rPr>
      </w:pPr>
      <w:r w:rsidRPr="00392ED6">
        <w:rPr>
          <w:rFonts w:eastAsia="Calibri"/>
          <w:lang w:val="tr-TR"/>
        </w:rPr>
        <w:tab/>
      </w:r>
      <w:r w:rsidRPr="00392ED6">
        <w:rPr>
          <w:lang w:val="tr-TR" w:eastAsia="tr-TR"/>
        </w:rPr>
        <w:t xml:space="preserve">VEGF düzeylerinin kalitatif ölçümünde enzim bağımlı immunadsorban tayin metodu kullanıldı (Human VEGF ELISA Kit, RayBiotech, </w:t>
      </w:r>
      <w:proofErr w:type="gramStart"/>
      <w:r w:rsidRPr="00392ED6">
        <w:rPr>
          <w:lang w:val="tr-TR" w:eastAsia="tr-TR"/>
        </w:rPr>
        <w:t>Inc.</w:t>
      </w:r>
      <w:r w:rsidRPr="00392ED6">
        <w:rPr>
          <w:bCs/>
          <w:lang w:val="tr-TR" w:eastAsia="tr-TR"/>
        </w:rPr>
        <w:t>Parkway</w:t>
      </w:r>
      <w:proofErr w:type="gramEnd"/>
      <w:r w:rsidRPr="00392ED6">
        <w:rPr>
          <w:bCs/>
          <w:lang w:val="tr-TR" w:eastAsia="tr-TR"/>
        </w:rPr>
        <w:t xml:space="preserve"> Lane, Norcross GA</w:t>
      </w:r>
      <w:r w:rsidRPr="00392ED6">
        <w:rPr>
          <w:b/>
          <w:lang w:val="tr-TR" w:eastAsia="tr-TR"/>
        </w:rPr>
        <w:t xml:space="preserve">).  </w:t>
      </w:r>
      <w:r w:rsidRPr="00392ED6">
        <w:rPr>
          <w:rFonts w:eastAsia="Calibri"/>
          <w:lang w:val="tr-TR"/>
        </w:rPr>
        <w:t xml:space="preserve">Laboratuarda 50 ml hacmindeki </w:t>
      </w:r>
      <w:proofErr w:type="gramStart"/>
      <w:r w:rsidRPr="00392ED6">
        <w:rPr>
          <w:rFonts w:eastAsia="Calibri"/>
          <w:lang w:val="tr-TR"/>
        </w:rPr>
        <w:t>konsantre  WBC</w:t>
      </w:r>
      <w:proofErr w:type="gramEnd"/>
      <w:r w:rsidRPr="00392ED6">
        <w:rPr>
          <w:rFonts w:eastAsia="Calibri"/>
          <w:lang w:val="tr-TR"/>
        </w:rPr>
        <w:t xml:space="preserve"> (x20) tamponu 950 ml saf su ile seyreltildi. 5 ml hacmindeki </w:t>
      </w:r>
      <w:proofErr w:type="gramStart"/>
      <w:r w:rsidRPr="00392ED6">
        <w:rPr>
          <w:rFonts w:eastAsia="Calibri"/>
          <w:lang w:val="tr-TR"/>
        </w:rPr>
        <w:t>konsantre</w:t>
      </w:r>
      <w:proofErr w:type="gramEnd"/>
      <w:r w:rsidRPr="00392ED6">
        <w:rPr>
          <w:rFonts w:eastAsia="Calibri"/>
          <w:lang w:val="tr-TR"/>
        </w:rPr>
        <w:t xml:space="preserve"> Assay tamponu (x20) 95ml saf su ile seyreltildi. Biotin Konjugat ve Streptavidin HRP assay tamponu ile 1/100 oranında seyreltildi. Liyofilize haldeki </w:t>
      </w:r>
      <w:r w:rsidRPr="00392ED6">
        <w:rPr>
          <w:rFonts w:eastAsia="Calibri"/>
          <w:lang w:val="tr-TR"/>
        </w:rPr>
        <w:lastRenderedPageBreak/>
        <w:t xml:space="preserve">kontrollerin üzerine 2 ml saf su ilave edilerek </w:t>
      </w:r>
      <w:proofErr w:type="gramStart"/>
      <w:r w:rsidRPr="00392ED6">
        <w:rPr>
          <w:rFonts w:eastAsia="Calibri"/>
          <w:lang w:val="tr-TR"/>
        </w:rPr>
        <w:t>seyreltildi .</w:t>
      </w:r>
      <w:proofErr w:type="gramEnd"/>
      <w:r w:rsidRPr="00392ED6">
        <w:rPr>
          <w:rFonts w:eastAsia="Calibri"/>
          <w:lang w:val="tr-TR"/>
        </w:rPr>
        <w:t xml:space="preserve"> 50 ml hacmindeki wash tamponu 1000 ml saf su ile hazırlandı.</w:t>
      </w:r>
    </w:p>
    <w:p w:rsidR="00392ED6" w:rsidRPr="00392ED6" w:rsidRDefault="00392ED6" w:rsidP="00392ED6">
      <w:pPr>
        <w:spacing w:after="200" w:line="360" w:lineRule="auto"/>
        <w:jc w:val="both"/>
        <w:rPr>
          <w:rFonts w:eastAsia="Calibri"/>
          <w:lang w:val="tr-TR"/>
        </w:rPr>
      </w:pPr>
      <w:r w:rsidRPr="00392ED6">
        <w:rPr>
          <w:rFonts w:eastAsia="Calibri"/>
          <w:lang w:val="tr-TR"/>
        </w:rPr>
        <w:tab/>
        <w:t xml:space="preserve">Numune </w:t>
      </w:r>
      <w:proofErr w:type="gramStart"/>
      <w:r w:rsidRPr="00392ED6">
        <w:rPr>
          <w:rFonts w:eastAsia="Calibri"/>
          <w:lang w:val="tr-TR"/>
        </w:rPr>
        <w:t>standartlar  ve</w:t>
      </w:r>
      <w:proofErr w:type="gramEnd"/>
      <w:r w:rsidRPr="00392ED6">
        <w:rPr>
          <w:rFonts w:eastAsia="Calibri"/>
          <w:lang w:val="tr-TR"/>
        </w:rPr>
        <w:t xml:space="preserve"> kontrol sayısına göre kit içerisinde bulunan stripler hazırlandı. Standart, kontrol ve hasta numunelerinden sırasıyla 100 μl stripteki kuyucuklara ekim işlemi yapıldı. İki saat boyunca oda sıcaklığında inkübasyona bırakıldı. Bu süre sonunda hazırlanmış olan wash tamponu ile 6 kez yıkama işlemi gerçekleştirildikten sonra her bir kuyucuğa 100 μl Biotin konjugat enzimi eklendi ve tekrar bir saat oda sıcaklığında inkübasyona bırakıldı. Süre sonunda tekrar yıkama işlemi yapıldıktan sonra bu kez kuyucuklara önceden hazırlanmış olan streptavidin HRP’ den 100 μl eklendi ve oda sıcaklığında 1 saat inkübasyona bırakıldı. Bu süre tamamlandığında yıkama işlemi yapılıp kuyucuklara 100 μl TMB substrat solüsyonu eklendi ve 30 dakika inkübasyona bırakıldı. Renklenme gözlendikten sonra yıkama işlemi yapılmadan kuyucuklara 100 μl stop solüsyonu eklendi ve okuma cihazında (Magellan) 450 nm’ de okuma işlemi gerçekleştirildi.</w:t>
      </w:r>
    </w:p>
    <w:p w:rsidR="00392ED6" w:rsidRPr="00392ED6" w:rsidRDefault="00392ED6" w:rsidP="00392ED6">
      <w:pPr>
        <w:spacing w:after="200" w:line="276" w:lineRule="auto"/>
        <w:jc w:val="both"/>
        <w:rPr>
          <w:rFonts w:eastAsia="Calibri"/>
          <w:b/>
          <w:lang w:val="tr-TR"/>
        </w:rPr>
      </w:pPr>
    </w:p>
    <w:p w:rsidR="00392ED6" w:rsidRPr="00392ED6" w:rsidRDefault="00392ED6" w:rsidP="00392ED6">
      <w:pPr>
        <w:spacing w:after="200" w:line="276" w:lineRule="auto"/>
        <w:jc w:val="both"/>
        <w:rPr>
          <w:rFonts w:eastAsia="Calibri"/>
          <w:b/>
          <w:lang w:val="tr-TR"/>
        </w:rPr>
      </w:pPr>
      <w:r w:rsidRPr="00392ED6">
        <w:rPr>
          <w:rFonts w:eastAsia="Calibri"/>
          <w:b/>
          <w:lang w:val="tr-TR"/>
        </w:rPr>
        <w:t>Nitrat/ Nitrit kolorimetrik kiti hazırlık ve çalışma aşaması</w:t>
      </w:r>
    </w:p>
    <w:p w:rsidR="00392ED6" w:rsidRPr="00392ED6" w:rsidRDefault="00392ED6" w:rsidP="00392ED6">
      <w:pPr>
        <w:spacing w:after="200" w:line="360" w:lineRule="auto"/>
        <w:jc w:val="both"/>
        <w:rPr>
          <w:rFonts w:eastAsia="Calibri"/>
          <w:lang w:val="tr-TR"/>
        </w:rPr>
      </w:pPr>
      <w:r w:rsidRPr="00392ED6">
        <w:rPr>
          <w:rFonts w:eastAsia="Calibri"/>
          <w:lang w:val="tr-TR"/>
        </w:rPr>
        <w:tab/>
      </w:r>
      <w:r w:rsidRPr="00392ED6">
        <w:rPr>
          <w:lang w:val="tr-TR" w:eastAsia="tr-TR"/>
        </w:rPr>
        <w:t xml:space="preserve">Serum NO düzeyleri kolorimetrik metotla tayin edildi. (Roche Diagnostics GmbH, Mannheim, Germany). </w:t>
      </w:r>
      <w:r w:rsidRPr="00392ED6">
        <w:rPr>
          <w:rFonts w:eastAsia="Calibri"/>
          <w:lang w:val="tr-TR"/>
        </w:rPr>
        <w:t xml:space="preserve">Assay tamponu 100 ml saf su ile seyreltildi. Nitrat redüktaz enzimi </w:t>
      </w:r>
      <w:proofErr w:type="gramStart"/>
      <w:r w:rsidRPr="00392ED6">
        <w:rPr>
          <w:rFonts w:eastAsia="Calibri"/>
          <w:lang w:val="tr-TR"/>
        </w:rPr>
        <w:t>1.2</w:t>
      </w:r>
      <w:proofErr w:type="gramEnd"/>
      <w:r w:rsidRPr="00392ED6">
        <w:rPr>
          <w:rFonts w:eastAsia="Calibri"/>
          <w:lang w:val="tr-TR"/>
        </w:rPr>
        <w:t xml:space="preserve"> ml assay tamponu ile seyreltildi. Liyofilize </w:t>
      </w:r>
      <w:proofErr w:type="gramStart"/>
      <w:r w:rsidRPr="00392ED6">
        <w:rPr>
          <w:rFonts w:eastAsia="Calibri"/>
          <w:lang w:val="tr-TR"/>
        </w:rPr>
        <w:t>haldeki  nitrat</w:t>
      </w:r>
      <w:proofErr w:type="gramEnd"/>
      <w:r w:rsidRPr="00392ED6">
        <w:rPr>
          <w:rFonts w:eastAsia="Calibri"/>
          <w:lang w:val="tr-TR"/>
        </w:rPr>
        <w:t xml:space="preserve"> standartın üzerine 1 ml assay tamponu ilave edilerek seyreltildi. Nitrit standartın üzerine de aynı şekilde 1 ml saf su ilave edilerek dilüe edildi. Gries reagent R1 v </w:t>
      </w:r>
      <w:proofErr w:type="gramStart"/>
      <w:r w:rsidRPr="00392ED6">
        <w:rPr>
          <w:rFonts w:eastAsia="Calibri"/>
          <w:lang w:val="tr-TR"/>
        </w:rPr>
        <w:t>R2  hazır</w:t>
      </w:r>
      <w:proofErr w:type="gramEnd"/>
      <w:r w:rsidRPr="00392ED6">
        <w:rPr>
          <w:rFonts w:eastAsia="Calibri"/>
          <w:lang w:val="tr-TR"/>
        </w:rPr>
        <w:t xml:space="preserve"> halde olduğu için her hangi bir işlem yapılmadı. Nitrit ve Nitrat Standartların seri sulandırılmasında 8. tüp blank olarak alındı ve içerisinde sadece assay tamponu konuldu.</w:t>
      </w:r>
    </w:p>
    <w:p w:rsidR="00392ED6" w:rsidRPr="00392ED6" w:rsidRDefault="00392ED6" w:rsidP="00392ED6">
      <w:pPr>
        <w:spacing w:after="200" w:line="276" w:lineRule="auto"/>
        <w:jc w:val="both"/>
        <w:rPr>
          <w:rFonts w:eastAsia="Calibri"/>
          <w:lang w:val="tr-TR"/>
        </w:rPr>
      </w:pPr>
      <w:r w:rsidRPr="00392ED6">
        <w:rPr>
          <w:rFonts w:eastAsia="Calibri"/>
          <w:lang w:val="tr-TR"/>
        </w:rPr>
        <w:t xml:space="preserve">Tüpe 5 μl nitrat </w:t>
      </w:r>
      <w:proofErr w:type="gramStart"/>
      <w:r w:rsidRPr="00392ED6">
        <w:rPr>
          <w:rFonts w:eastAsia="Calibri"/>
          <w:lang w:val="tr-TR"/>
        </w:rPr>
        <w:t>standart  75</w:t>
      </w:r>
      <w:proofErr w:type="gramEnd"/>
      <w:r w:rsidRPr="00392ED6">
        <w:rPr>
          <w:rFonts w:eastAsia="Calibri"/>
          <w:lang w:val="tr-TR"/>
        </w:rPr>
        <w:t xml:space="preserve"> μl assay tamponu eklenerek hazır hale getirildi.</w:t>
      </w:r>
    </w:p>
    <w:p w:rsidR="00392ED6" w:rsidRPr="00392ED6" w:rsidRDefault="00392ED6" w:rsidP="00392ED6">
      <w:pPr>
        <w:spacing w:after="200" w:line="276" w:lineRule="auto"/>
        <w:jc w:val="both"/>
        <w:rPr>
          <w:rFonts w:eastAsia="Calibri"/>
          <w:lang w:val="tr-TR"/>
        </w:rPr>
      </w:pPr>
      <w:r w:rsidRPr="00392ED6">
        <w:rPr>
          <w:rFonts w:eastAsia="Calibri"/>
          <w:lang w:val="tr-TR"/>
        </w:rPr>
        <w:t xml:space="preserve">Tüpe 10 μl nitrat </w:t>
      </w:r>
      <w:proofErr w:type="gramStart"/>
      <w:r w:rsidRPr="00392ED6">
        <w:rPr>
          <w:rFonts w:eastAsia="Calibri"/>
          <w:lang w:val="tr-TR"/>
        </w:rPr>
        <w:t>standart  70</w:t>
      </w:r>
      <w:proofErr w:type="gramEnd"/>
      <w:r w:rsidRPr="00392ED6">
        <w:rPr>
          <w:rFonts w:eastAsia="Calibri"/>
          <w:lang w:val="tr-TR"/>
        </w:rPr>
        <w:t xml:space="preserve"> μl assay tamponu eklenerek hazır hale getirildi.</w:t>
      </w:r>
    </w:p>
    <w:p w:rsidR="00392ED6" w:rsidRPr="00392ED6" w:rsidRDefault="00392ED6" w:rsidP="00392ED6">
      <w:pPr>
        <w:spacing w:after="200" w:line="276" w:lineRule="auto"/>
        <w:jc w:val="both"/>
        <w:rPr>
          <w:rFonts w:eastAsia="Calibri"/>
          <w:lang w:val="tr-TR"/>
        </w:rPr>
      </w:pPr>
      <w:r w:rsidRPr="00392ED6">
        <w:rPr>
          <w:rFonts w:eastAsia="Calibri"/>
          <w:lang w:val="tr-TR"/>
        </w:rPr>
        <w:t xml:space="preserve">Tüpe 15 μl nitrat </w:t>
      </w:r>
      <w:proofErr w:type="gramStart"/>
      <w:r w:rsidRPr="00392ED6">
        <w:rPr>
          <w:rFonts w:eastAsia="Calibri"/>
          <w:lang w:val="tr-TR"/>
        </w:rPr>
        <w:t>standart  65</w:t>
      </w:r>
      <w:proofErr w:type="gramEnd"/>
      <w:r w:rsidRPr="00392ED6">
        <w:rPr>
          <w:rFonts w:eastAsia="Calibri"/>
          <w:lang w:val="tr-TR"/>
        </w:rPr>
        <w:t xml:space="preserve"> μl assay tamponu eklenerek hazır hale getirildi.</w:t>
      </w:r>
    </w:p>
    <w:p w:rsidR="00392ED6" w:rsidRPr="00392ED6" w:rsidRDefault="00392ED6" w:rsidP="00392ED6">
      <w:pPr>
        <w:spacing w:after="200" w:line="276" w:lineRule="auto"/>
        <w:jc w:val="both"/>
        <w:rPr>
          <w:rFonts w:eastAsia="Calibri"/>
          <w:lang w:val="tr-TR"/>
        </w:rPr>
      </w:pPr>
      <w:r w:rsidRPr="00392ED6">
        <w:rPr>
          <w:rFonts w:eastAsia="Calibri"/>
          <w:lang w:val="tr-TR"/>
        </w:rPr>
        <w:t xml:space="preserve">Tüpe 20 μl nitrat </w:t>
      </w:r>
      <w:proofErr w:type="gramStart"/>
      <w:r w:rsidRPr="00392ED6">
        <w:rPr>
          <w:rFonts w:eastAsia="Calibri"/>
          <w:lang w:val="tr-TR"/>
        </w:rPr>
        <w:t>standart  60</w:t>
      </w:r>
      <w:proofErr w:type="gramEnd"/>
      <w:r w:rsidRPr="00392ED6">
        <w:rPr>
          <w:rFonts w:eastAsia="Calibri"/>
          <w:lang w:val="tr-TR"/>
        </w:rPr>
        <w:t xml:space="preserve"> μl assay tamponu eklenerek hazır hale getirildi.</w:t>
      </w:r>
    </w:p>
    <w:p w:rsidR="00392ED6" w:rsidRPr="00392ED6" w:rsidRDefault="00392ED6" w:rsidP="00392ED6">
      <w:pPr>
        <w:spacing w:after="200" w:line="276" w:lineRule="auto"/>
        <w:jc w:val="both"/>
        <w:rPr>
          <w:rFonts w:eastAsia="Calibri"/>
          <w:lang w:val="tr-TR"/>
        </w:rPr>
      </w:pPr>
      <w:r w:rsidRPr="00392ED6">
        <w:rPr>
          <w:rFonts w:eastAsia="Calibri"/>
          <w:lang w:val="tr-TR"/>
        </w:rPr>
        <w:t xml:space="preserve">Tüpe 25 μl nitrat </w:t>
      </w:r>
      <w:proofErr w:type="gramStart"/>
      <w:r w:rsidRPr="00392ED6">
        <w:rPr>
          <w:rFonts w:eastAsia="Calibri"/>
          <w:lang w:val="tr-TR"/>
        </w:rPr>
        <w:t>standart  55</w:t>
      </w:r>
      <w:proofErr w:type="gramEnd"/>
      <w:r w:rsidRPr="00392ED6">
        <w:rPr>
          <w:rFonts w:eastAsia="Calibri"/>
          <w:lang w:val="tr-TR"/>
        </w:rPr>
        <w:t xml:space="preserve"> μl assay tamponu eklenerek hazır hale getirildi.</w:t>
      </w:r>
    </w:p>
    <w:p w:rsidR="00392ED6" w:rsidRPr="00392ED6" w:rsidRDefault="00392ED6" w:rsidP="00392ED6">
      <w:pPr>
        <w:spacing w:after="200" w:line="276" w:lineRule="auto"/>
        <w:jc w:val="both"/>
        <w:rPr>
          <w:rFonts w:eastAsia="Calibri"/>
          <w:lang w:val="tr-TR"/>
        </w:rPr>
      </w:pPr>
      <w:r w:rsidRPr="00392ED6">
        <w:rPr>
          <w:rFonts w:eastAsia="Calibri"/>
          <w:lang w:val="tr-TR"/>
        </w:rPr>
        <w:t xml:space="preserve">Tüpe 30 μl nitrat </w:t>
      </w:r>
      <w:proofErr w:type="gramStart"/>
      <w:r w:rsidRPr="00392ED6">
        <w:rPr>
          <w:rFonts w:eastAsia="Calibri"/>
          <w:lang w:val="tr-TR"/>
        </w:rPr>
        <w:t>standart  50</w:t>
      </w:r>
      <w:proofErr w:type="gramEnd"/>
      <w:r w:rsidRPr="00392ED6">
        <w:rPr>
          <w:rFonts w:eastAsia="Calibri"/>
          <w:lang w:val="tr-TR"/>
        </w:rPr>
        <w:t xml:space="preserve"> μl assay tamponu eklenerek hazır hale getirildi.</w:t>
      </w:r>
    </w:p>
    <w:p w:rsidR="00392ED6" w:rsidRPr="00392ED6" w:rsidRDefault="00392ED6" w:rsidP="00392ED6">
      <w:pPr>
        <w:spacing w:after="200" w:line="276" w:lineRule="auto"/>
        <w:jc w:val="both"/>
        <w:rPr>
          <w:rFonts w:eastAsia="Calibri"/>
          <w:lang w:val="tr-TR"/>
        </w:rPr>
      </w:pPr>
      <w:r w:rsidRPr="00392ED6">
        <w:rPr>
          <w:rFonts w:eastAsia="Calibri"/>
          <w:lang w:val="tr-TR"/>
        </w:rPr>
        <w:t xml:space="preserve">Tüpe 35 μl nitrat </w:t>
      </w:r>
      <w:proofErr w:type="gramStart"/>
      <w:r w:rsidRPr="00392ED6">
        <w:rPr>
          <w:rFonts w:eastAsia="Calibri"/>
          <w:lang w:val="tr-TR"/>
        </w:rPr>
        <w:t>standart  45</w:t>
      </w:r>
      <w:proofErr w:type="gramEnd"/>
      <w:r w:rsidRPr="00392ED6">
        <w:rPr>
          <w:rFonts w:eastAsia="Calibri"/>
          <w:lang w:val="tr-TR"/>
        </w:rPr>
        <w:t xml:space="preserve"> μl assay tamponu eklenerek hazır hale getirildi.</w:t>
      </w:r>
    </w:p>
    <w:p w:rsidR="00392ED6" w:rsidRPr="00392ED6" w:rsidRDefault="00392ED6" w:rsidP="00392ED6">
      <w:pPr>
        <w:spacing w:after="200" w:line="276" w:lineRule="auto"/>
        <w:jc w:val="both"/>
        <w:rPr>
          <w:rFonts w:eastAsia="Calibri"/>
          <w:lang w:val="tr-TR"/>
        </w:rPr>
      </w:pPr>
    </w:p>
    <w:p w:rsidR="00392ED6" w:rsidRPr="00392ED6" w:rsidRDefault="00392ED6" w:rsidP="00392ED6">
      <w:pPr>
        <w:spacing w:after="200" w:line="360" w:lineRule="auto"/>
        <w:jc w:val="both"/>
        <w:rPr>
          <w:rFonts w:eastAsia="Calibri"/>
          <w:lang w:val="tr-TR"/>
        </w:rPr>
      </w:pPr>
      <w:r w:rsidRPr="00392ED6">
        <w:rPr>
          <w:rFonts w:eastAsia="Calibri"/>
          <w:lang w:val="tr-TR"/>
        </w:rPr>
        <w:lastRenderedPageBreak/>
        <w:tab/>
        <w:t xml:space="preserve">Nitrat ve Nitrit için hazırlanan striplere standartlar ve hasta serumlarından 80 μl kuyucuklara ekildi ve üzerine 10 μl enzim kofaktör </w:t>
      </w:r>
      <w:proofErr w:type="gramStart"/>
      <w:r w:rsidRPr="00392ED6">
        <w:rPr>
          <w:rFonts w:eastAsia="Calibri"/>
          <w:lang w:val="tr-TR"/>
        </w:rPr>
        <w:t>karışımı  ile</w:t>
      </w:r>
      <w:proofErr w:type="gramEnd"/>
      <w:r w:rsidRPr="00392ED6">
        <w:rPr>
          <w:rFonts w:eastAsia="Calibri"/>
          <w:lang w:val="tr-TR"/>
        </w:rPr>
        <w:t xml:space="preserve"> nitrat calışılan kuyucuklara 10 μl nitrat reduktaz enzmi eklendikten sonra oda sıcaklığında 1 saat inkubasyona bırakıldı. Süre sonunda kuyucukların üzerine griess reagent R1 solüsyonu ve hemen ardından griess reagent </w:t>
      </w:r>
      <w:proofErr w:type="gramStart"/>
      <w:r w:rsidRPr="00392ED6">
        <w:rPr>
          <w:rFonts w:eastAsia="Calibri"/>
          <w:lang w:val="tr-TR"/>
        </w:rPr>
        <w:t>R2  solüsyonundan</w:t>
      </w:r>
      <w:proofErr w:type="gramEnd"/>
      <w:r w:rsidRPr="00392ED6">
        <w:rPr>
          <w:rFonts w:eastAsia="Calibri"/>
          <w:lang w:val="tr-TR"/>
        </w:rPr>
        <w:t xml:space="preserve"> 50 μl eklendi ve oda sıcaklığında 10 dakika inkübasyona bırakıldı. Renklenme görüldükten sonra 540 nm de okuma cihazında (Magellan cihazı) okuma işlemi gerçekleştirildi.</w:t>
      </w:r>
    </w:p>
    <w:p w:rsidR="00392ED6" w:rsidRPr="00392ED6" w:rsidRDefault="00392ED6" w:rsidP="00392ED6">
      <w:pPr>
        <w:spacing w:line="360" w:lineRule="auto"/>
        <w:rPr>
          <w:b/>
          <w:lang w:val="tr-TR" w:eastAsia="tr-TR"/>
        </w:rPr>
      </w:pPr>
      <w:r w:rsidRPr="00392ED6">
        <w:rPr>
          <w:b/>
          <w:lang w:val="tr-TR" w:eastAsia="tr-TR"/>
        </w:rPr>
        <w:t>Ang II kiti hazırlık ve çalışma aşaması</w:t>
      </w:r>
    </w:p>
    <w:p w:rsidR="00392ED6" w:rsidRPr="00392ED6" w:rsidRDefault="00392ED6" w:rsidP="00392ED6">
      <w:pPr>
        <w:spacing w:after="200" w:line="360" w:lineRule="auto"/>
        <w:ind w:firstLine="708"/>
        <w:jc w:val="both"/>
        <w:rPr>
          <w:rFonts w:eastAsia="Calibri"/>
          <w:lang w:val="tr-TR"/>
        </w:rPr>
      </w:pPr>
      <w:r w:rsidRPr="00392ED6">
        <w:rPr>
          <w:lang w:val="tr-TR" w:eastAsia="tr-TR"/>
        </w:rPr>
        <w:t xml:space="preserve">Ang II </w:t>
      </w:r>
      <w:proofErr w:type="gramStart"/>
      <w:r w:rsidRPr="00392ED6">
        <w:rPr>
          <w:lang w:val="tr-TR" w:eastAsia="tr-TR"/>
        </w:rPr>
        <w:t>düzeyleri  ELISA</w:t>
      </w:r>
      <w:proofErr w:type="gramEnd"/>
      <w:r w:rsidRPr="00392ED6">
        <w:rPr>
          <w:lang w:val="tr-TR" w:eastAsia="tr-TR"/>
        </w:rPr>
        <w:t xml:space="preserve"> kiti kullanılarak belirlendi (Human Angiotensin II ELISA kit, Cusabio Biotech, </w:t>
      </w:r>
      <w:r w:rsidRPr="00392ED6">
        <w:rPr>
          <w:color w:val="444444"/>
          <w:lang w:val="tr-TR" w:eastAsia="tr-TR"/>
        </w:rPr>
        <w:t>Wuhan, P.R.China)</w:t>
      </w:r>
      <w:r w:rsidRPr="00392ED6">
        <w:rPr>
          <w:lang w:val="tr-TR" w:eastAsia="tr-TR"/>
        </w:rPr>
        <w:t xml:space="preserve">. Bu kitteki mikrotiter plate Ang II’ye karşı antikorla kaplanmıştır ve Ang II’ye karşı </w:t>
      </w:r>
      <w:proofErr w:type="gramStart"/>
      <w:r w:rsidRPr="00392ED6">
        <w:rPr>
          <w:lang w:val="tr-TR" w:eastAsia="tr-TR"/>
        </w:rPr>
        <w:t>spesifik</w:t>
      </w:r>
      <w:proofErr w:type="gramEnd"/>
      <w:r w:rsidRPr="00392ED6">
        <w:rPr>
          <w:lang w:val="tr-TR" w:eastAsia="tr-TR"/>
        </w:rPr>
        <w:t xml:space="preserve"> biyotinle konjuge poliklonal antikorlar örneklere eklendi ve her bir kuyuya Avidinle konjuge Horseradish Peroksidaz (HRP) eklenerek inkübe edildi. Daha sonra TMB (3,3',5,5' tetramethyl-benzidine) substratı her kuyuya eklendi ve bu kuyulardan sadece Ang II olan kuyular biyotin konjuge antikor ve enzimle konjuge Avidin ile renk değişimi gösterdiler. Bu enzim substrat reaksiyonu sülfürik asidin eklenmesiyle sonlandırıldı ve renk değişimi dalgaboyu 450 nm de spektrofotometrik olarak ölçüldü.  </w:t>
      </w:r>
    </w:p>
    <w:p w:rsidR="00392ED6" w:rsidRPr="00392ED6" w:rsidRDefault="00392ED6" w:rsidP="00392ED6">
      <w:pPr>
        <w:spacing w:after="200" w:line="360" w:lineRule="auto"/>
        <w:jc w:val="both"/>
        <w:rPr>
          <w:rFonts w:eastAsia="Calibri"/>
          <w:b/>
          <w:lang w:val="tr-TR"/>
        </w:rPr>
      </w:pPr>
      <w:r w:rsidRPr="00392ED6">
        <w:rPr>
          <w:rFonts w:eastAsia="Calibri"/>
          <w:b/>
          <w:lang w:val="tr-TR"/>
        </w:rPr>
        <w:t>İstatiksel Analiz</w:t>
      </w:r>
    </w:p>
    <w:p w:rsidR="00392ED6" w:rsidRPr="00392ED6" w:rsidRDefault="00392ED6" w:rsidP="00392ED6">
      <w:pPr>
        <w:spacing w:after="200" w:line="360" w:lineRule="auto"/>
        <w:ind w:firstLine="708"/>
        <w:jc w:val="both"/>
        <w:rPr>
          <w:rFonts w:eastAsia="Calibri"/>
          <w:lang w:val="tr-TR"/>
        </w:rPr>
      </w:pPr>
      <w:r w:rsidRPr="00392ED6">
        <w:rPr>
          <w:lang w:val="tr-TR" w:eastAsia="tr-TR"/>
        </w:rPr>
        <w:t xml:space="preserve">Verilerin istatistiksel analizinde SPSS </w:t>
      </w:r>
      <w:proofErr w:type="gramStart"/>
      <w:r w:rsidRPr="00392ED6">
        <w:rPr>
          <w:lang w:val="tr-TR" w:eastAsia="tr-TR"/>
        </w:rPr>
        <w:t>17.0</w:t>
      </w:r>
      <w:proofErr w:type="gramEnd"/>
      <w:r w:rsidRPr="00392ED6">
        <w:rPr>
          <w:lang w:val="tr-TR" w:eastAsia="tr-TR"/>
        </w:rPr>
        <w:t xml:space="preserve"> paket programı kullanıldı. Kategorik ölçümler sayı ve yüzde olarak, sürekli ölçümlerse ortanca ve minimum-maksimum olarak özetlendi. Kategorik ölçümlerin gruplar arasında karşılaştırılmasında Ki Kare test istatistiği kullanıldı. Gruplar arasında sürekli ölçümlerin genel karşılaştırılmasında varsayımların sağlanması durumunda Tek Yönlü Varyans Analizi, varsayımların sağlanmaması durumunda ise Kruskal-Wallis testi kullanıldı. Grupların ikili karşılaştırılmalarında Bonferroni veya Scheffe testleri kullanıldı. Bazı sürekli ölçümlerin normal dağılım varsayımını sağlamaması nedeniyle bu sürekli ölçümler arasındaki </w:t>
      </w:r>
      <w:proofErr w:type="gramStart"/>
      <w:r w:rsidRPr="00392ED6">
        <w:rPr>
          <w:lang w:val="tr-TR" w:eastAsia="tr-TR"/>
        </w:rPr>
        <w:t>korelasyon</w:t>
      </w:r>
      <w:proofErr w:type="gramEnd"/>
      <w:r w:rsidRPr="00392ED6">
        <w:rPr>
          <w:lang w:val="tr-TR" w:eastAsia="tr-TR"/>
        </w:rPr>
        <w:t xml:space="preserve"> Sperman Korelasyon katsayısı ile incelendi. Tüm testler %95 güven düzeyinde yapıldı α=0,05 hata değeri ile test edildi.</w:t>
      </w:r>
    </w:p>
    <w:p w:rsidR="00392ED6" w:rsidRPr="00392ED6" w:rsidRDefault="00392ED6" w:rsidP="00392ED6">
      <w:pPr>
        <w:spacing w:before="240" w:after="60" w:line="276" w:lineRule="auto"/>
        <w:jc w:val="both"/>
        <w:outlineLvl w:val="0"/>
        <w:rPr>
          <w:b/>
          <w:bCs/>
          <w:kern w:val="28"/>
          <w:sz w:val="28"/>
          <w:szCs w:val="28"/>
        </w:rPr>
      </w:pP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before="240" w:after="60" w:line="276" w:lineRule="auto"/>
        <w:jc w:val="both"/>
        <w:outlineLvl w:val="0"/>
        <w:rPr>
          <w:b/>
          <w:bCs/>
          <w:kern w:val="28"/>
          <w:sz w:val="28"/>
          <w:szCs w:val="28"/>
        </w:rPr>
      </w:pPr>
    </w:p>
    <w:p w:rsidR="00392ED6" w:rsidRPr="00392ED6" w:rsidRDefault="00392ED6" w:rsidP="00392ED6">
      <w:pPr>
        <w:spacing w:before="240" w:after="60" w:line="276" w:lineRule="auto"/>
        <w:jc w:val="both"/>
        <w:outlineLvl w:val="0"/>
        <w:rPr>
          <w:b/>
          <w:bCs/>
          <w:kern w:val="28"/>
          <w:sz w:val="28"/>
          <w:szCs w:val="28"/>
        </w:rPr>
      </w:pPr>
      <w:r w:rsidRPr="00392ED6">
        <w:rPr>
          <w:b/>
          <w:bCs/>
          <w:kern w:val="28"/>
          <w:sz w:val="28"/>
          <w:szCs w:val="28"/>
        </w:rPr>
        <w:lastRenderedPageBreak/>
        <w:t>4. SONUÇLAR</w:t>
      </w:r>
    </w:p>
    <w:p w:rsidR="00392ED6" w:rsidRPr="00392ED6" w:rsidRDefault="00392ED6" w:rsidP="00392ED6">
      <w:pPr>
        <w:spacing w:after="200" w:line="276" w:lineRule="auto"/>
        <w:rPr>
          <w:rFonts w:ascii="Calibri" w:eastAsia="Calibri" w:hAnsi="Calibri" w:cs="Calibri"/>
          <w:sz w:val="22"/>
          <w:szCs w:val="22"/>
        </w:rPr>
      </w:pPr>
    </w:p>
    <w:p w:rsidR="00392ED6" w:rsidRPr="00392ED6" w:rsidRDefault="00392ED6" w:rsidP="00392ED6">
      <w:pPr>
        <w:spacing w:after="200" w:line="360" w:lineRule="auto"/>
        <w:jc w:val="both"/>
        <w:rPr>
          <w:rFonts w:eastAsia="Calibri"/>
          <w:b/>
          <w:bCs/>
          <w:lang w:val="tr-TR"/>
        </w:rPr>
      </w:pPr>
      <w:r w:rsidRPr="00392ED6">
        <w:rPr>
          <w:rFonts w:eastAsia="Calibri"/>
          <w:b/>
          <w:bCs/>
          <w:lang w:val="tr-TR"/>
        </w:rPr>
        <w:t>4.1 Çalışma grubuna ait sonuçlar</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 xml:space="preserve">Çalışmaya 2009–2011 yılları arasında Başkent Üniversitesi Adana Uygulama ve Araştırma Merkezi Hastanesi Tıbbi Onkoloji Bilim Dalına metastatik kolorektal kanser tanısıyla başvuran 35 hasta dahil edildi ancak 11 hastada </w:t>
      </w:r>
      <w:proofErr w:type="gramStart"/>
      <w:r w:rsidRPr="00392ED6">
        <w:rPr>
          <w:rFonts w:eastAsia="Calibri"/>
          <w:lang w:val="tr-TR"/>
        </w:rPr>
        <w:t>düzenli  kan</w:t>
      </w:r>
      <w:proofErr w:type="gramEnd"/>
      <w:r w:rsidRPr="00392ED6">
        <w:rPr>
          <w:rFonts w:eastAsia="Calibri"/>
          <w:lang w:val="tr-TR"/>
        </w:rPr>
        <w:t xml:space="preserve"> basıncı ve poliklinik takibine gelmemesi ve biyokimyasal analiz için son kan örneklerini vermemesi nedeniyle çalışma dışı bırakıldı. 24 hastanın verileri kullanılarak istatiksel analiz tamamlandı. </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 xml:space="preserve">Çalışma grubunu oluşturan 24 hastanın 15’i (%62,5) erkek, 9’u (%37,5) kadındı. En yaşlı hasta 75 ve en geç hasta 37 yaşındaydı. Hastalardan 1’inde (%4,2) aile öyküsü mevcuttu. Tümör yerleşimi açısından bakıldığında hastaların 19’u (%79,2) kolon kaynaklı iken 5’i (%20,8) rektum kökenliydi. Tümörlerin patolojik </w:t>
      </w:r>
      <w:proofErr w:type="gramStart"/>
      <w:r w:rsidRPr="00392ED6">
        <w:rPr>
          <w:rFonts w:eastAsia="Calibri"/>
          <w:lang w:val="tr-TR"/>
        </w:rPr>
        <w:t>histolojik  derecesi</w:t>
      </w:r>
      <w:proofErr w:type="gramEnd"/>
      <w:r w:rsidRPr="00392ED6">
        <w:rPr>
          <w:rFonts w:eastAsia="Calibri"/>
          <w:lang w:val="tr-TR"/>
        </w:rPr>
        <w:t xml:space="preserve">  9 hastada (%37,5) derece 2 iken 15 hastada (%62,5) derece 3’dü. 4 (%16,7) hasta adjuvan olarak </w:t>
      </w:r>
      <w:proofErr w:type="gramStart"/>
      <w:r w:rsidRPr="00392ED6">
        <w:rPr>
          <w:rFonts w:eastAsia="Calibri"/>
          <w:lang w:val="tr-TR"/>
        </w:rPr>
        <w:t>kemoterapi</w:t>
      </w:r>
      <w:proofErr w:type="gramEnd"/>
      <w:r w:rsidRPr="00392ED6">
        <w:rPr>
          <w:rFonts w:eastAsia="Calibri"/>
          <w:lang w:val="tr-TR"/>
        </w:rPr>
        <w:t xml:space="preserve"> almıştı, diğer tüm hastalar metastatik safhada tanı almıştı. Hastaların başvuru esnasında 19’unda (%79,2) hipertansiyon yokken, 5’inde (%20,8) hipertansiyon mevcuttu ancak hiçbir hipertansiyon kontrolsüz değildi. Başvuru esnasında hastaların 3’ünde (%12,5) Tip 2 DM mevcuttu ancak hiç biri kontrolsüz değildi. Hastaların hiçbiri vücut kitle indeksi yönünden obezite sınırında değildi ve 13’ünde (%54,2) sigara içme öyküsü varken 11’i (%45,8) hiç sigara kullanmamıştı. Demografik ve klinik bilgiler Tablo.4’de özetlenmiştir.</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487"/>
        <w:gridCol w:w="1418"/>
        <w:gridCol w:w="1307"/>
      </w:tblGrid>
      <w:tr w:rsidR="00392ED6" w:rsidRPr="00392ED6" w:rsidTr="00392ED6">
        <w:tc>
          <w:tcPr>
            <w:tcW w:w="9212" w:type="dxa"/>
            <w:gridSpan w:val="3"/>
            <w:tcBorders>
              <w:top w:val="nil"/>
              <w:left w:val="nil"/>
              <w:right w:val="nil"/>
            </w:tcBorders>
          </w:tcPr>
          <w:p w:rsidR="00392ED6" w:rsidRPr="00392ED6" w:rsidRDefault="00392ED6" w:rsidP="00392ED6">
            <w:pPr>
              <w:spacing w:line="360" w:lineRule="auto"/>
              <w:jc w:val="both"/>
              <w:rPr>
                <w:rFonts w:eastAsia="Calibri"/>
                <w:b/>
                <w:bCs/>
                <w:sz w:val="18"/>
                <w:szCs w:val="18"/>
                <w:lang w:val="tr-TR"/>
              </w:rPr>
            </w:pPr>
            <w:r w:rsidRPr="00392ED6">
              <w:rPr>
                <w:rFonts w:eastAsia="Calibri"/>
                <w:b/>
                <w:bCs/>
                <w:lang w:val="tr-TR"/>
              </w:rPr>
              <w:t>Tablo.4 Çalışmaya alınan hastaların demografik ve klinikopatolojik özellikleri</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p>
          <w:p w:rsidR="00392ED6" w:rsidRPr="00392ED6" w:rsidRDefault="00392ED6" w:rsidP="00392ED6">
            <w:pPr>
              <w:spacing w:line="360" w:lineRule="auto"/>
              <w:jc w:val="both"/>
              <w:rPr>
                <w:rFonts w:eastAsia="Calibri"/>
                <w:b/>
                <w:sz w:val="18"/>
                <w:szCs w:val="18"/>
                <w:lang w:val="tr-TR"/>
              </w:rPr>
            </w:pPr>
            <w:r w:rsidRPr="00392ED6">
              <w:rPr>
                <w:rFonts w:eastAsia="Calibri"/>
                <w:b/>
                <w:sz w:val="18"/>
                <w:szCs w:val="18"/>
                <w:lang w:val="tr-TR"/>
              </w:rPr>
              <w:t>Özellikler</w:t>
            </w:r>
          </w:p>
        </w:tc>
        <w:tc>
          <w:tcPr>
            <w:tcW w:w="1418" w:type="dxa"/>
          </w:tcPr>
          <w:p w:rsidR="00392ED6" w:rsidRPr="00392ED6" w:rsidRDefault="00392ED6" w:rsidP="00392ED6">
            <w:pPr>
              <w:spacing w:line="360" w:lineRule="auto"/>
              <w:jc w:val="both"/>
              <w:rPr>
                <w:rFonts w:eastAsia="Calibri"/>
                <w:b/>
                <w:sz w:val="18"/>
                <w:szCs w:val="18"/>
                <w:lang w:val="tr-TR"/>
              </w:rPr>
            </w:pPr>
            <w:r w:rsidRPr="00392ED6">
              <w:rPr>
                <w:rFonts w:eastAsia="Calibri"/>
                <w:b/>
                <w:sz w:val="18"/>
                <w:szCs w:val="18"/>
                <w:lang w:val="tr-TR"/>
              </w:rPr>
              <w:t>Sayı</w:t>
            </w:r>
          </w:p>
          <w:p w:rsidR="00392ED6" w:rsidRPr="00392ED6" w:rsidRDefault="00392ED6" w:rsidP="00392ED6">
            <w:pPr>
              <w:spacing w:line="360" w:lineRule="auto"/>
              <w:jc w:val="both"/>
              <w:rPr>
                <w:rFonts w:eastAsia="Calibri"/>
                <w:sz w:val="18"/>
                <w:szCs w:val="18"/>
                <w:lang w:val="tr-TR"/>
              </w:rPr>
            </w:pPr>
            <w:r w:rsidRPr="00392ED6">
              <w:rPr>
                <w:rFonts w:eastAsia="Calibri"/>
                <w:b/>
                <w:sz w:val="18"/>
                <w:szCs w:val="18"/>
                <w:lang w:val="tr-TR"/>
              </w:rPr>
              <w:t>(n)</w:t>
            </w:r>
          </w:p>
        </w:tc>
        <w:tc>
          <w:tcPr>
            <w:tcW w:w="1307" w:type="dxa"/>
          </w:tcPr>
          <w:p w:rsidR="00392ED6" w:rsidRPr="00392ED6" w:rsidRDefault="00392ED6" w:rsidP="00392ED6">
            <w:pPr>
              <w:spacing w:line="360" w:lineRule="auto"/>
              <w:jc w:val="both"/>
              <w:rPr>
                <w:rFonts w:eastAsia="Calibri"/>
                <w:b/>
                <w:sz w:val="18"/>
                <w:szCs w:val="18"/>
                <w:lang w:val="tr-TR"/>
              </w:rPr>
            </w:pPr>
            <w:r w:rsidRPr="00392ED6">
              <w:rPr>
                <w:rFonts w:eastAsia="Calibri"/>
                <w:b/>
                <w:sz w:val="18"/>
                <w:szCs w:val="18"/>
                <w:lang w:val="tr-TR"/>
              </w:rPr>
              <w:t>Yüzde</w:t>
            </w:r>
          </w:p>
          <w:p w:rsidR="00392ED6" w:rsidRPr="00392ED6" w:rsidRDefault="00392ED6" w:rsidP="00392ED6">
            <w:pPr>
              <w:spacing w:line="360" w:lineRule="auto"/>
              <w:jc w:val="both"/>
              <w:rPr>
                <w:rFonts w:eastAsia="Calibri"/>
                <w:sz w:val="18"/>
                <w:szCs w:val="18"/>
                <w:lang w:val="tr-TR"/>
              </w:rPr>
            </w:pPr>
            <w:r w:rsidRPr="00392ED6">
              <w:rPr>
                <w:rFonts w:eastAsia="Calibri"/>
                <w:b/>
                <w:sz w:val="18"/>
                <w:szCs w:val="18"/>
                <w:lang w:val="tr-TR"/>
              </w:rPr>
              <w:t>(%)</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Hasta Sayısı</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24</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100</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Yaş</w:t>
            </w:r>
          </w:p>
        </w:tc>
        <w:tc>
          <w:tcPr>
            <w:tcW w:w="1418" w:type="dxa"/>
          </w:tcPr>
          <w:p w:rsidR="00392ED6" w:rsidRPr="00392ED6" w:rsidRDefault="00392ED6" w:rsidP="00392ED6">
            <w:pPr>
              <w:spacing w:line="360" w:lineRule="auto"/>
              <w:jc w:val="both"/>
              <w:rPr>
                <w:rFonts w:eastAsia="Calibri"/>
                <w:sz w:val="18"/>
                <w:szCs w:val="18"/>
                <w:lang w:val="tr-TR"/>
              </w:rPr>
            </w:pPr>
          </w:p>
        </w:tc>
        <w:tc>
          <w:tcPr>
            <w:tcW w:w="1307" w:type="dxa"/>
          </w:tcPr>
          <w:p w:rsidR="00392ED6" w:rsidRPr="00392ED6" w:rsidRDefault="00392ED6" w:rsidP="00392ED6">
            <w:pPr>
              <w:spacing w:line="360" w:lineRule="auto"/>
              <w:jc w:val="both"/>
              <w:rPr>
                <w:rFonts w:eastAsia="Calibri"/>
                <w:sz w:val="18"/>
                <w:szCs w:val="18"/>
                <w:lang w:val="tr-TR"/>
              </w:rPr>
            </w:pP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Ortanca</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61</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Minimum</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37</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Maksimum</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75</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Cinsiyet</w:t>
            </w:r>
          </w:p>
        </w:tc>
        <w:tc>
          <w:tcPr>
            <w:tcW w:w="1418" w:type="dxa"/>
          </w:tcPr>
          <w:p w:rsidR="00392ED6" w:rsidRPr="00392ED6" w:rsidRDefault="00392ED6" w:rsidP="00392ED6">
            <w:pPr>
              <w:spacing w:line="360" w:lineRule="auto"/>
              <w:jc w:val="both"/>
              <w:rPr>
                <w:rFonts w:eastAsia="Calibri"/>
                <w:sz w:val="18"/>
                <w:szCs w:val="18"/>
                <w:lang w:val="tr-TR"/>
              </w:rPr>
            </w:pPr>
          </w:p>
        </w:tc>
        <w:tc>
          <w:tcPr>
            <w:tcW w:w="1307" w:type="dxa"/>
          </w:tcPr>
          <w:p w:rsidR="00392ED6" w:rsidRPr="00392ED6" w:rsidRDefault="00392ED6" w:rsidP="00392ED6">
            <w:pPr>
              <w:spacing w:line="360" w:lineRule="auto"/>
              <w:jc w:val="both"/>
              <w:rPr>
                <w:rFonts w:eastAsia="Calibri"/>
                <w:sz w:val="18"/>
                <w:szCs w:val="18"/>
                <w:lang w:val="tr-TR"/>
              </w:rPr>
            </w:pP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 xml:space="preserve">Kadın  </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9</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37,5</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Erkek</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15</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62,5</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Aile Öyküsü</w:t>
            </w:r>
          </w:p>
        </w:tc>
        <w:tc>
          <w:tcPr>
            <w:tcW w:w="1418" w:type="dxa"/>
          </w:tcPr>
          <w:p w:rsidR="00392ED6" w:rsidRPr="00392ED6" w:rsidRDefault="00392ED6" w:rsidP="00392ED6">
            <w:pPr>
              <w:spacing w:line="360" w:lineRule="auto"/>
              <w:jc w:val="both"/>
              <w:rPr>
                <w:rFonts w:eastAsia="Calibri"/>
                <w:sz w:val="18"/>
                <w:szCs w:val="18"/>
                <w:lang w:val="tr-TR"/>
              </w:rPr>
            </w:pPr>
          </w:p>
        </w:tc>
        <w:tc>
          <w:tcPr>
            <w:tcW w:w="1307" w:type="dxa"/>
          </w:tcPr>
          <w:p w:rsidR="00392ED6" w:rsidRPr="00392ED6" w:rsidRDefault="00392ED6" w:rsidP="00392ED6">
            <w:pPr>
              <w:spacing w:line="360" w:lineRule="auto"/>
              <w:jc w:val="both"/>
              <w:rPr>
                <w:rFonts w:eastAsia="Calibri"/>
                <w:sz w:val="18"/>
                <w:szCs w:val="18"/>
                <w:lang w:val="tr-TR"/>
              </w:rPr>
            </w:pP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Var</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23</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95,8</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Yok</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1</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4,2</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Tümör Lokalizasyon</w:t>
            </w:r>
          </w:p>
        </w:tc>
        <w:tc>
          <w:tcPr>
            <w:tcW w:w="1418" w:type="dxa"/>
          </w:tcPr>
          <w:p w:rsidR="00392ED6" w:rsidRPr="00392ED6" w:rsidRDefault="00392ED6" w:rsidP="00392ED6">
            <w:pPr>
              <w:spacing w:line="360" w:lineRule="auto"/>
              <w:jc w:val="both"/>
              <w:rPr>
                <w:rFonts w:eastAsia="Calibri"/>
                <w:sz w:val="18"/>
                <w:szCs w:val="18"/>
                <w:lang w:val="tr-TR"/>
              </w:rPr>
            </w:pPr>
          </w:p>
        </w:tc>
        <w:tc>
          <w:tcPr>
            <w:tcW w:w="1307" w:type="dxa"/>
          </w:tcPr>
          <w:p w:rsidR="00392ED6" w:rsidRPr="00392ED6" w:rsidRDefault="00392ED6" w:rsidP="00392ED6">
            <w:pPr>
              <w:spacing w:line="360" w:lineRule="auto"/>
              <w:jc w:val="both"/>
              <w:rPr>
                <w:rFonts w:eastAsia="Calibri"/>
                <w:sz w:val="18"/>
                <w:szCs w:val="18"/>
                <w:lang w:val="tr-TR"/>
              </w:rPr>
            </w:pP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Kolon</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19</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79,2</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lastRenderedPageBreak/>
              <w:tab/>
              <w:t>Rektum</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5</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20,8</w:t>
            </w:r>
          </w:p>
        </w:tc>
      </w:tr>
      <w:tr w:rsidR="00392ED6" w:rsidRPr="00392ED6" w:rsidTr="00392ED6">
        <w:trPr>
          <w:trHeight w:val="211"/>
        </w:trPr>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Histolojik Derece</w:t>
            </w:r>
          </w:p>
        </w:tc>
        <w:tc>
          <w:tcPr>
            <w:tcW w:w="1418" w:type="dxa"/>
          </w:tcPr>
          <w:p w:rsidR="00392ED6" w:rsidRPr="00392ED6" w:rsidRDefault="00392ED6" w:rsidP="00392ED6">
            <w:pPr>
              <w:spacing w:line="360" w:lineRule="auto"/>
              <w:jc w:val="both"/>
              <w:rPr>
                <w:rFonts w:eastAsia="Calibri"/>
                <w:sz w:val="18"/>
                <w:szCs w:val="18"/>
                <w:lang w:val="tr-TR"/>
              </w:rPr>
            </w:pPr>
          </w:p>
        </w:tc>
        <w:tc>
          <w:tcPr>
            <w:tcW w:w="1307" w:type="dxa"/>
          </w:tcPr>
          <w:p w:rsidR="00392ED6" w:rsidRPr="00392ED6" w:rsidRDefault="00392ED6" w:rsidP="00392ED6">
            <w:pPr>
              <w:spacing w:line="360" w:lineRule="auto"/>
              <w:jc w:val="both"/>
              <w:rPr>
                <w:rFonts w:eastAsia="Calibri"/>
                <w:sz w:val="18"/>
                <w:szCs w:val="18"/>
                <w:lang w:val="tr-TR"/>
              </w:rPr>
            </w:pP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Derece 2</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9</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37,5</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Derece 3</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15</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62,5</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Başvuru esnasında hipertansiyon öyküsü</w:t>
            </w:r>
          </w:p>
        </w:tc>
        <w:tc>
          <w:tcPr>
            <w:tcW w:w="1418" w:type="dxa"/>
          </w:tcPr>
          <w:p w:rsidR="00392ED6" w:rsidRPr="00392ED6" w:rsidRDefault="00392ED6" w:rsidP="00392ED6">
            <w:pPr>
              <w:spacing w:line="360" w:lineRule="auto"/>
              <w:jc w:val="both"/>
              <w:rPr>
                <w:rFonts w:eastAsia="Calibri"/>
                <w:sz w:val="18"/>
                <w:szCs w:val="18"/>
                <w:lang w:val="tr-TR"/>
              </w:rPr>
            </w:pPr>
          </w:p>
        </w:tc>
        <w:tc>
          <w:tcPr>
            <w:tcW w:w="1307" w:type="dxa"/>
          </w:tcPr>
          <w:p w:rsidR="00392ED6" w:rsidRPr="00392ED6" w:rsidRDefault="00392ED6" w:rsidP="00392ED6">
            <w:pPr>
              <w:spacing w:line="360" w:lineRule="auto"/>
              <w:jc w:val="both"/>
              <w:rPr>
                <w:rFonts w:eastAsia="Calibri"/>
                <w:sz w:val="18"/>
                <w:szCs w:val="18"/>
                <w:lang w:val="tr-TR"/>
              </w:rPr>
            </w:pP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Var</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5</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20,8</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Yok</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19</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79,2</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eastAsia="tr-TR"/>
              </w:rPr>
            </w:pPr>
            <w:r w:rsidRPr="00392ED6">
              <w:rPr>
                <w:rFonts w:eastAsia="Calibri"/>
                <w:sz w:val="18"/>
                <w:szCs w:val="18"/>
                <w:lang w:val="tr-TR" w:eastAsia="tr-TR"/>
              </w:rPr>
              <w:t>Kontrolsüz hipertansiyon varlığı</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0</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0</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Başvuru esnasında diyabet varlığı</w:t>
            </w:r>
          </w:p>
        </w:tc>
        <w:tc>
          <w:tcPr>
            <w:tcW w:w="1418" w:type="dxa"/>
          </w:tcPr>
          <w:p w:rsidR="00392ED6" w:rsidRPr="00392ED6" w:rsidRDefault="00392ED6" w:rsidP="00392ED6">
            <w:pPr>
              <w:spacing w:line="360" w:lineRule="auto"/>
              <w:jc w:val="both"/>
              <w:rPr>
                <w:rFonts w:eastAsia="Calibri"/>
                <w:sz w:val="18"/>
                <w:szCs w:val="18"/>
                <w:lang w:val="tr-TR"/>
              </w:rPr>
            </w:pPr>
          </w:p>
        </w:tc>
        <w:tc>
          <w:tcPr>
            <w:tcW w:w="1307" w:type="dxa"/>
          </w:tcPr>
          <w:p w:rsidR="00392ED6" w:rsidRPr="00392ED6" w:rsidRDefault="00392ED6" w:rsidP="00392ED6">
            <w:pPr>
              <w:spacing w:line="360" w:lineRule="auto"/>
              <w:jc w:val="both"/>
              <w:rPr>
                <w:rFonts w:eastAsia="Calibri"/>
                <w:sz w:val="18"/>
                <w:szCs w:val="18"/>
                <w:lang w:val="tr-TR"/>
              </w:rPr>
            </w:pP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Var</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3</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12,5</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ab/>
              <w:t>Yok</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21</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87,5</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eastAsia="tr-TR"/>
              </w:rPr>
              <w:t>Kontrolsüz diyabet varlığı</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0</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0</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Obezite</w:t>
            </w:r>
          </w:p>
        </w:tc>
        <w:tc>
          <w:tcPr>
            <w:tcW w:w="1418" w:type="dxa"/>
          </w:tcPr>
          <w:p w:rsidR="00392ED6" w:rsidRPr="00392ED6" w:rsidRDefault="00392ED6" w:rsidP="00392ED6">
            <w:pPr>
              <w:spacing w:line="360" w:lineRule="auto"/>
              <w:jc w:val="both"/>
              <w:rPr>
                <w:rFonts w:eastAsia="Calibri"/>
                <w:sz w:val="18"/>
                <w:szCs w:val="18"/>
                <w:lang w:val="tr-TR"/>
              </w:rPr>
            </w:pPr>
          </w:p>
        </w:tc>
        <w:tc>
          <w:tcPr>
            <w:tcW w:w="1307" w:type="dxa"/>
          </w:tcPr>
          <w:p w:rsidR="00392ED6" w:rsidRPr="00392ED6" w:rsidRDefault="00392ED6" w:rsidP="00392ED6">
            <w:pPr>
              <w:spacing w:line="360" w:lineRule="auto"/>
              <w:jc w:val="both"/>
              <w:rPr>
                <w:rFonts w:eastAsia="Calibri"/>
                <w:sz w:val="18"/>
                <w:szCs w:val="18"/>
                <w:lang w:val="tr-TR"/>
              </w:rPr>
            </w:pP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ab/>
              <w:t>Var</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0</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0</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ab/>
              <w:t>Yok</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24</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100</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Sigara</w:t>
            </w:r>
          </w:p>
        </w:tc>
        <w:tc>
          <w:tcPr>
            <w:tcW w:w="1418" w:type="dxa"/>
          </w:tcPr>
          <w:p w:rsidR="00392ED6" w:rsidRPr="00392ED6" w:rsidRDefault="00392ED6" w:rsidP="00392ED6">
            <w:pPr>
              <w:spacing w:line="360" w:lineRule="auto"/>
              <w:jc w:val="both"/>
              <w:rPr>
                <w:rFonts w:eastAsia="Calibri"/>
                <w:sz w:val="18"/>
                <w:szCs w:val="18"/>
                <w:lang w:val="tr-TR"/>
              </w:rPr>
            </w:pPr>
          </w:p>
        </w:tc>
        <w:tc>
          <w:tcPr>
            <w:tcW w:w="1307" w:type="dxa"/>
          </w:tcPr>
          <w:p w:rsidR="00392ED6" w:rsidRPr="00392ED6" w:rsidRDefault="00392ED6" w:rsidP="00392ED6">
            <w:pPr>
              <w:spacing w:line="360" w:lineRule="auto"/>
              <w:jc w:val="both"/>
              <w:rPr>
                <w:rFonts w:eastAsia="Calibri"/>
                <w:sz w:val="18"/>
                <w:szCs w:val="18"/>
                <w:lang w:val="tr-TR"/>
              </w:rPr>
            </w:pP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 xml:space="preserve">            Var</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13</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54,2</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 xml:space="preserve">            Yok</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11</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45,8</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 xml:space="preserve">Adjuvan </w:t>
            </w:r>
            <w:proofErr w:type="gramStart"/>
            <w:r w:rsidRPr="00392ED6">
              <w:rPr>
                <w:rFonts w:eastAsia="Calibri"/>
                <w:sz w:val="18"/>
                <w:szCs w:val="18"/>
                <w:lang w:val="tr-TR"/>
              </w:rPr>
              <w:t>kemoterapi</w:t>
            </w:r>
            <w:proofErr w:type="gramEnd"/>
            <w:r w:rsidRPr="00392ED6">
              <w:rPr>
                <w:rFonts w:eastAsia="Calibri"/>
                <w:sz w:val="18"/>
                <w:szCs w:val="18"/>
                <w:lang w:val="tr-TR"/>
              </w:rPr>
              <w:t xml:space="preserve"> öyküsü</w:t>
            </w:r>
          </w:p>
        </w:tc>
        <w:tc>
          <w:tcPr>
            <w:tcW w:w="1418" w:type="dxa"/>
          </w:tcPr>
          <w:p w:rsidR="00392ED6" w:rsidRPr="00392ED6" w:rsidRDefault="00392ED6" w:rsidP="00392ED6">
            <w:pPr>
              <w:spacing w:line="360" w:lineRule="auto"/>
              <w:jc w:val="both"/>
              <w:rPr>
                <w:rFonts w:eastAsia="Calibri"/>
                <w:sz w:val="18"/>
                <w:szCs w:val="18"/>
                <w:lang w:val="tr-TR"/>
              </w:rPr>
            </w:pPr>
          </w:p>
        </w:tc>
        <w:tc>
          <w:tcPr>
            <w:tcW w:w="1307" w:type="dxa"/>
          </w:tcPr>
          <w:p w:rsidR="00392ED6" w:rsidRPr="00392ED6" w:rsidRDefault="00392ED6" w:rsidP="00392ED6">
            <w:pPr>
              <w:spacing w:line="360" w:lineRule="auto"/>
              <w:jc w:val="both"/>
              <w:rPr>
                <w:rFonts w:eastAsia="Calibri"/>
                <w:sz w:val="18"/>
                <w:szCs w:val="18"/>
                <w:lang w:val="tr-TR"/>
              </w:rPr>
            </w:pP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ab/>
              <w:t>Var</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4</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16,7</w:t>
            </w:r>
          </w:p>
        </w:tc>
      </w:tr>
      <w:tr w:rsidR="00392ED6" w:rsidRPr="00392ED6" w:rsidTr="00392ED6">
        <w:tc>
          <w:tcPr>
            <w:tcW w:w="648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ab/>
              <w:t>Yok</w:t>
            </w:r>
          </w:p>
        </w:tc>
        <w:tc>
          <w:tcPr>
            <w:tcW w:w="1418"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20</w:t>
            </w:r>
          </w:p>
        </w:tc>
        <w:tc>
          <w:tcPr>
            <w:tcW w:w="1307" w:type="dxa"/>
          </w:tcPr>
          <w:p w:rsidR="00392ED6" w:rsidRPr="00392ED6" w:rsidRDefault="00392ED6" w:rsidP="00392ED6">
            <w:pPr>
              <w:spacing w:line="360" w:lineRule="auto"/>
              <w:jc w:val="both"/>
              <w:rPr>
                <w:rFonts w:eastAsia="Calibri"/>
                <w:sz w:val="18"/>
                <w:szCs w:val="18"/>
                <w:lang w:val="tr-TR"/>
              </w:rPr>
            </w:pPr>
            <w:r w:rsidRPr="00392ED6">
              <w:rPr>
                <w:rFonts w:eastAsia="Calibri"/>
                <w:sz w:val="18"/>
                <w:szCs w:val="18"/>
                <w:lang w:val="tr-TR"/>
              </w:rPr>
              <w:t>83,3</w:t>
            </w:r>
          </w:p>
        </w:tc>
      </w:tr>
    </w:tbl>
    <w:p w:rsidR="00392ED6" w:rsidRPr="00392ED6" w:rsidRDefault="00392ED6" w:rsidP="00392ED6">
      <w:pPr>
        <w:spacing w:after="200" w:line="360" w:lineRule="auto"/>
        <w:jc w:val="both"/>
        <w:rPr>
          <w:rFonts w:eastAsia="Calibri"/>
          <w:b/>
          <w:bCs/>
          <w:lang w:val="tr-TR"/>
        </w:rPr>
      </w:pPr>
    </w:p>
    <w:p w:rsidR="00392ED6" w:rsidRPr="00392ED6" w:rsidRDefault="00392ED6" w:rsidP="00392ED6">
      <w:pPr>
        <w:spacing w:after="200" w:line="360" w:lineRule="auto"/>
        <w:jc w:val="both"/>
        <w:rPr>
          <w:rFonts w:eastAsia="Calibri"/>
          <w:b/>
          <w:bCs/>
          <w:lang w:val="tr-TR"/>
        </w:rPr>
      </w:pPr>
      <w:r w:rsidRPr="00392ED6">
        <w:rPr>
          <w:rFonts w:eastAsia="Calibri"/>
          <w:b/>
          <w:bCs/>
          <w:lang w:val="tr-TR"/>
        </w:rPr>
        <w:t>4.2. Hastalara ait serum ve idrar örneklerinin biyokimyasal analizlerinin sonuçları</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 xml:space="preserve">Hastaların bazal ve 6 siklüs tedavi sonrası CEA ve Ca </w:t>
      </w:r>
      <w:proofErr w:type="gramStart"/>
      <w:r w:rsidRPr="00392ED6">
        <w:rPr>
          <w:rFonts w:eastAsia="Calibri"/>
          <w:lang w:val="tr-TR"/>
        </w:rPr>
        <w:t>19.9</w:t>
      </w:r>
      <w:proofErr w:type="gramEnd"/>
      <w:r w:rsidRPr="00392ED6">
        <w:rPr>
          <w:rFonts w:eastAsia="Calibri"/>
          <w:lang w:val="tr-TR"/>
        </w:rPr>
        <w:t xml:space="preserve"> düzeyleri incelendi. Buna göre bazalde CEA düzeylerinin ortancası </w:t>
      </w:r>
      <w:proofErr w:type="gramStart"/>
      <w:r w:rsidRPr="00392ED6">
        <w:rPr>
          <w:rFonts w:eastAsia="Calibri"/>
          <w:lang w:val="tr-TR"/>
        </w:rPr>
        <w:t>5.5</w:t>
      </w:r>
      <w:proofErr w:type="gramEnd"/>
      <w:r w:rsidRPr="00392ED6">
        <w:rPr>
          <w:rFonts w:eastAsia="Calibri"/>
          <w:lang w:val="tr-TR"/>
        </w:rPr>
        <w:t xml:space="preserve"> olarak bulunurken 6 siklus sonrası 4 olarak saptandı. Ca </w:t>
      </w:r>
      <w:proofErr w:type="gramStart"/>
      <w:r w:rsidRPr="00392ED6">
        <w:rPr>
          <w:rFonts w:eastAsia="Calibri"/>
          <w:lang w:val="tr-TR"/>
        </w:rPr>
        <w:t>19.9</w:t>
      </w:r>
      <w:proofErr w:type="gramEnd"/>
      <w:r w:rsidRPr="00392ED6">
        <w:rPr>
          <w:rFonts w:eastAsia="Calibri"/>
          <w:lang w:val="tr-TR"/>
        </w:rPr>
        <w:t xml:space="preserve"> düzeyi açısından bakıldığında bazalde ortancası 48.5 iken 6 siklus sonrası 27.8 olarak saptandı. Hastalardan ayrıca bazal ve 6 siklüs sonrasında serum VEGF, NO ve ANGII düzeyleri yönünden incelenmek üzere kan örneği alındı. Bu örneklerin analizi sonrası VEGF, NO ve ANG II düzeylerinin ortancaları bazalde sırasıyla </w:t>
      </w:r>
      <w:proofErr w:type="gramStart"/>
      <w:r w:rsidRPr="00392ED6">
        <w:rPr>
          <w:rFonts w:eastAsia="Calibri"/>
          <w:lang w:val="tr-TR"/>
        </w:rPr>
        <w:t>197.7</w:t>
      </w:r>
      <w:proofErr w:type="gramEnd"/>
      <w:r w:rsidRPr="00392ED6">
        <w:rPr>
          <w:rFonts w:eastAsia="Calibri"/>
          <w:lang w:val="tr-TR"/>
        </w:rPr>
        <w:t>, 6.3 ve 4.5 pg/ml olarak saptanırken 6 siklus tedavi sonrası 87.5, 6.7 ve 3.5 pg/ml olarak bulundu. Bulgular Tablo.5’de özetlenmiştir.</w:t>
      </w:r>
    </w:p>
    <w:p w:rsidR="00392ED6" w:rsidRPr="00392ED6" w:rsidRDefault="00392ED6" w:rsidP="00392ED6">
      <w:pPr>
        <w:spacing w:after="200" w:line="360" w:lineRule="auto"/>
        <w:jc w:val="both"/>
        <w:rPr>
          <w:rFonts w:eastAsia="Calibri"/>
          <w:b/>
          <w:bCs/>
          <w:lang w:val="tr-TR"/>
        </w:rPr>
      </w:pPr>
    </w:p>
    <w:p w:rsidR="00392ED6" w:rsidRPr="00392ED6" w:rsidRDefault="00392ED6" w:rsidP="00392ED6">
      <w:pPr>
        <w:spacing w:after="200" w:line="360" w:lineRule="auto"/>
        <w:jc w:val="both"/>
        <w:rPr>
          <w:rFonts w:eastAsia="Calibri"/>
          <w:b/>
          <w:bCs/>
          <w:lang w:val="tr-TR"/>
        </w:rPr>
      </w:pPr>
    </w:p>
    <w:p w:rsidR="00392ED6" w:rsidRPr="00392ED6" w:rsidRDefault="00392ED6" w:rsidP="00392ED6">
      <w:pPr>
        <w:spacing w:after="200" w:line="360" w:lineRule="auto"/>
        <w:jc w:val="both"/>
        <w:rPr>
          <w:rFonts w:eastAsia="Calibri"/>
          <w:b/>
          <w:bCs/>
          <w:lang w:val="tr-TR"/>
        </w:rPr>
      </w:pPr>
    </w:p>
    <w:p w:rsidR="00392ED6" w:rsidRPr="00392ED6" w:rsidRDefault="00392ED6" w:rsidP="00392ED6">
      <w:pPr>
        <w:spacing w:after="200" w:line="360" w:lineRule="auto"/>
        <w:jc w:val="both"/>
        <w:rPr>
          <w:rFonts w:eastAsia="Calibri"/>
          <w:b/>
          <w:bCs/>
          <w:lang w:val="tr-TR"/>
        </w:rPr>
      </w:pPr>
    </w:p>
    <w:p w:rsidR="00392ED6" w:rsidRPr="00392ED6" w:rsidRDefault="00392ED6" w:rsidP="00392ED6">
      <w:pPr>
        <w:spacing w:after="200" w:line="360" w:lineRule="auto"/>
        <w:jc w:val="both"/>
        <w:rPr>
          <w:rFonts w:eastAsia="Calibri"/>
          <w:lang w:val="tr-TR"/>
        </w:rPr>
      </w:pPr>
      <w:r w:rsidRPr="00392ED6">
        <w:rPr>
          <w:rFonts w:eastAsia="Calibri"/>
          <w:b/>
          <w:bCs/>
          <w:lang w:val="tr-TR"/>
        </w:rPr>
        <w:lastRenderedPageBreak/>
        <w:t>Tablo.5 Hastaların bazal ve 6 siklus tedavi sonrası serum tümör marker, VEGF, NO ve ANG II düzeyleri</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5"/>
        <w:gridCol w:w="2947"/>
        <w:gridCol w:w="3283"/>
      </w:tblGrid>
      <w:tr w:rsidR="00392ED6" w:rsidRPr="00392ED6" w:rsidTr="00392ED6">
        <w:trPr>
          <w:trHeight w:val="1061"/>
        </w:trPr>
        <w:tc>
          <w:tcPr>
            <w:tcW w:w="3115" w:type="dxa"/>
            <w:shd w:val="clear" w:color="auto" w:fill="auto"/>
          </w:tcPr>
          <w:p w:rsidR="00392ED6" w:rsidRPr="00392ED6" w:rsidRDefault="00392ED6" w:rsidP="00392ED6">
            <w:pPr>
              <w:spacing w:after="200" w:line="360" w:lineRule="auto"/>
              <w:jc w:val="both"/>
              <w:rPr>
                <w:rFonts w:eastAsia="Calibri"/>
                <w:bCs/>
                <w:lang w:val="tr-TR"/>
              </w:rPr>
            </w:pPr>
          </w:p>
        </w:tc>
        <w:tc>
          <w:tcPr>
            <w:tcW w:w="2947"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 xml:space="preserve">Bazal </w:t>
            </w:r>
          </w:p>
          <w:p w:rsidR="00392ED6" w:rsidRPr="00392ED6" w:rsidRDefault="00392ED6" w:rsidP="00392ED6">
            <w:pPr>
              <w:spacing w:after="200" w:line="360" w:lineRule="auto"/>
              <w:jc w:val="both"/>
              <w:rPr>
                <w:rFonts w:eastAsia="Calibri"/>
                <w:bCs/>
                <w:lang w:val="tr-TR"/>
              </w:rPr>
            </w:pPr>
            <w:r w:rsidRPr="00392ED6">
              <w:rPr>
                <w:rFonts w:eastAsia="Calibri"/>
                <w:bCs/>
                <w:lang w:val="tr-TR"/>
              </w:rPr>
              <w:t>(ortanca, min-maks±std)</w:t>
            </w:r>
          </w:p>
        </w:tc>
        <w:tc>
          <w:tcPr>
            <w:tcW w:w="3283"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 xml:space="preserve">6 siklus sonrası </w:t>
            </w:r>
          </w:p>
          <w:p w:rsidR="00392ED6" w:rsidRPr="00392ED6" w:rsidRDefault="00392ED6" w:rsidP="00392ED6">
            <w:pPr>
              <w:spacing w:after="200" w:line="360" w:lineRule="auto"/>
              <w:jc w:val="both"/>
              <w:rPr>
                <w:rFonts w:eastAsia="Calibri"/>
                <w:bCs/>
                <w:lang w:val="tr-TR"/>
              </w:rPr>
            </w:pPr>
            <w:r w:rsidRPr="00392ED6">
              <w:rPr>
                <w:rFonts w:eastAsia="Calibri"/>
                <w:bCs/>
                <w:lang w:val="tr-TR"/>
              </w:rPr>
              <w:t>(ortanca, min-maks±std)</w:t>
            </w:r>
          </w:p>
        </w:tc>
      </w:tr>
      <w:tr w:rsidR="00392ED6" w:rsidRPr="00392ED6" w:rsidTr="00392ED6">
        <w:trPr>
          <w:trHeight w:val="625"/>
        </w:trPr>
        <w:tc>
          <w:tcPr>
            <w:tcW w:w="3115"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CEA ng/ml</w:t>
            </w:r>
          </w:p>
        </w:tc>
        <w:tc>
          <w:tcPr>
            <w:tcW w:w="2947"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5.5 (</w:t>
            </w:r>
            <w:proofErr w:type="gramStart"/>
            <w:r w:rsidRPr="00392ED6">
              <w:rPr>
                <w:rFonts w:eastAsia="Calibri"/>
                <w:bCs/>
                <w:lang w:val="tr-TR"/>
              </w:rPr>
              <w:t>0.8</w:t>
            </w:r>
            <w:proofErr w:type="gramEnd"/>
            <w:r w:rsidRPr="00392ED6">
              <w:rPr>
                <w:rFonts w:eastAsia="Calibri"/>
                <w:bCs/>
                <w:lang w:val="tr-TR"/>
              </w:rPr>
              <w:t>-1642±363.9)</w:t>
            </w:r>
          </w:p>
        </w:tc>
        <w:tc>
          <w:tcPr>
            <w:tcW w:w="3283"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4 (0-843±</w:t>
            </w:r>
            <w:proofErr w:type="gramStart"/>
            <w:r w:rsidRPr="00392ED6">
              <w:rPr>
                <w:rFonts w:eastAsia="Calibri"/>
                <w:bCs/>
                <w:lang w:val="tr-TR"/>
              </w:rPr>
              <w:t>207.7</w:t>
            </w:r>
            <w:proofErr w:type="gramEnd"/>
            <w:r w:rsidRPr="00392ED6">
              <w:rPr>
                <w:rFonts w:eastAsia="Calibri"/>
                <w:bCs/>
                <w:lang w:val="tr-TR"/>
              </w:rPr>
              <w:t>)</w:t>
            </w:r>
          </w:p>
        </w:tc>
      </w:tr>
      <w:tr w:rsidR="00392ED6" w:rsidRPr="00392ED6" w:rsidTr="00392ED6">
        <w:trPr>
          <w:trHeight w:val="640"/>
        </w:trPr>
        <w:tc>
          <w:tcPr>
            <w:tcW w:w="3115"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Ca.</w:t>
            </w:r>
            <w:proofErr w:type="gramStart"/>
            <w:r w:rsidRPr="00392ED6">
              <w:rPr>
                <w:rFonts w:eastAsia="Calibri"/>
                <w:bCs/>
                <w:lang w:val="tr-TR"/>
              </w:rPr>
              <w:t>19.9</w:t>
            </w:r>
            <w:proofErr w:type="gramEnd"/>
            <w:r w:rsidRPr="00392ED6">
              <w:rPr>
                <w:rFonts w:eastAsia="Calibri"/>
                <w:bCs/>
                <w:lang w:val="tr-TR"/>
              </w:rPr>
              <w:t xml:space="preserve"> ng/ml</w:t>
            </w:r>
          </w:p>
        </w:tc>
        <w:tc>
          <w:tcPr>
            <w:tcW w:w="2947"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31.5 (0-5849±</w:t>
            </w:r>
            <w:proofErr w:type="gramStart"/>
            <w:r w:rsidRPr="00392ED6">
              <w:rPr>
                <w:rFonts w:eastAsia="Calibri"/>
                <w:bCs/>
                <w:lang w:val="tr-TR"/>
              </w:rPr>
              <w:t>1298.8</w:t>
            </w:r>
            <w:proofErr w:type="gramEnd"/>
            <w:r w:rsidRPr="00392ED6">
              <w:rPr>
                <w:rFonts w:eastAsia="Calibri"/>
                <w:bCs/>
                <w:lang w:val="tr-TR"/>
              </w:rPr>
              <w:t>)</w:t>
            </w:r>
          </w:p>
        </w:tc>
        <w:tc>
          <w:tcPr>
            <w:tcW w:w="3283"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9.5 (0-1600±</w:t>
            </w:r>
            <w:proofErr w:type="gramStart"/>
            <w:r w:rsidRPr="00392ED6">
              <w:rPr>
                <w:rFonts w:eastAsia="Calibri"/>
                <w:bCs/>
                <w:lang w:val="tr-TR"/>
              </w:rPr>
              <w:t>357.5</w:t>
            </w:r>
            <w:proofErr w:type="gramEnd"/>
            <w:r w:rsidRPr="00392ED6">
              <w:rPr>
                <w:rFonts w:eastAsia="Calibri"/>
                <w:bCs/>
                <w:lang w:val="tr-TR"/>
              </w:rPr>
              <w:t>)</w:t>
            </w:r>
          </w:p>
        </w:tc>
      </w:tr>
      <w:tr w:rsidR="00392ED6" w:rsidRPr="00392ED6" w:rsidTr="00392ED6">
        <w:trPr>
          <w:trHeight w:val="640"/>
        </w:trPr>
        <w:tc>
          <w:tcPr>
            <w:tcW w:w="3115"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VEGF pg/ml</w:t>
            </w:r>
          </w:p>
        </w:tc>
        <w:tc>
          <w:tcPr>
            <w:tcW w:w="2947"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197.7 (</w:t>
            </w:r>
            <w:proofErr w:type="gramStart"/>
            <w:r w:rsidRPr="00392ED6">
              <w:rPr>
                <w:rFonts w:eastAsia="Calibri"/>
                <w:bCs/>
                <w:lang w:val="tr-TR"/>
              </w:rPr>
              <w:t>8.2</w:t>
            </w:r>
            <w:proofErr w:type="gramEnd"/>
            <w:r w:rsidRPr="00392ED6">
              <w:rPr>
                <w:rFonts w:eastAsia="Calibri"/>
                <w:bCs/>
                <w:lang w:val="tr-TR"/>
              </w:rPr>
              <w:t>-681.6±191.4)</w:t>
            </w:r>
          </w:p>
        </w:tc>
        <w:tc>
          <w:tcPr>
            <w:tcW w:w="3283"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87.1 (</w:t>
            </w:r>
            <w:proofErr w:type="gramStart"/>
            <w:r w:rsidRPr="00392ED6">
              <w:rPr>
                <w:rFonts w:eastAsia="Calibri"/>
                <w:bCs/>
                <w:lang w:val="tr-TR"/>
              </w:rPr>
              <w:t>12.4</w:t>
            </w:r>
            <w:proofErr w:type="gramEnd"/>
            <w:r w:rsidRPr="00392ED6">
              <w:rPr>
                <w:rFonts w:eastAsia="Calibri"/>
                <w:bCs/>
                <w:lang w:val="tr-TR"/>
              </w:rPr>
              <w:t>-141.2±31.5)</w:t>
            </w:r>
          </w:p>
        </w:tc>
      </w:tr>
      <w:tr w:rsidR="00392ED6" w:rsidRPr="00392ED6" w:rsidTr="00392ED6">
        <w:trPr>
          <w:trHeight w:val="625"/>
        </w:trPr>
        <w:tc>
          <w:tcPr>
            <w:tcW w:w="3115"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NO pg/ml</w:t>
            </w:r>
          </w:p>
        </w:tc>
        <w:tc>
          <w:tcPr>
            <w:tcW w:w="2947"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6.3 (</w:t>
            </w:r>
            <w:proofErr w:type="gramStart"/>
            <w:r w:rsidRPr="00392ED6">
              <w:rPr>
                <w:rFonts w:eastAsia="Calibri"/>
                <w:bCs/>
                <w:lang w:val="tr-TR"/>
              </w:rPr>
              <w:t>2.5</w:t>
            </w:r>
            <w:proofErr w:type="gramEnd"/>
            <w:r w:rsidRPr="00392ED6">
              <w:rPr>
                <w:rFonts w:eastAsia="Calibri"/>
                <w:bCs/>
                <w:lang w:val="tr-TR"/>
              </w:rPr>
              <w:t>-21.5±8.17)</w:t>
            </w:r>
          </w:p>
        </w:tc>
        <w:tc>
          <w:tcPr>
            <w:tcW w:w="3283"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6.7 (</w:t>
            </w:r>
            <w:proofErr w:type="gramStart"/>
            <w:r w:rsidRPr="00392ED6">
              <w:rPr>
                <w:rFonts w:eastAsia="Calibri"/>
                <w:bCs/>
                <w:lang w:val="tr-TR"/>
              </w:rPr>
              <w:t>2.9</w:t>
            </w:r>
            <w:proofErr w:type="gramEnd"/>
            <w:r w:rsidRPr="00392ED6">
              <w:rPr>
                <w:rFonts w:eastAsia="Calibri"/>
                <w:bCs/>
                <w:lang w:val="tr-TR"/>
              </w:rPr>
              <w:t>-28.9±8.17)</w:t>
            </w:r>
          </w:p>
        </w:tc>
      </w:tr>
      <w:tr w:rsidR="00392ED6" w:rsidRPr="00392ED6" w:rsidTr="00392ED6">
        <w:trPr>
          <w:trHeight w:val="640"/>
        </w:trPr>
        <w:tc>
          <w:tcPr>
            <w:tcW w:w="3115"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ANG II pg/ml</w:t>
            </w:r>
          </w:p>
        </w:tc>
        <w:tc>
          <w:tcPr>
            <w:tcW w:w="2947"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4.5 (</w:t>
            </w:r>
            <w:proofErr w:type="gramStart"/>
            <w:r w:rsidRPr="00392ED6">
              <w:rPr>
                <w:rFonts w:eastAsia="Calibri"/>
                <w:bCs/>
                <w:lang w:val="tr-TR"/>
              </w:rPr>
              <w:t>1.2</w:t>
            </w:r>
            <w:proofErr w:type="gramEnd"/>
            <w:r w:rsidRPr="00392ED6">
              <w:rPr>
                <w:rFonts w:eastAsia="Calibri"/>
                <w:bCs/>
                <w:lang w:val="tr-TR"/>
              </w:rPr>
              <w:t>-10.8±2.14)</w:t>
            </w:r>
          </w:p>
        </w:tc>
        <w:tc>
          <w:tcPr>
            <w:tcW w:w="3283"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3.5 (</w:t>
            </w:r>
            <w:proofErr w:type="gramStart"/>
            <w:r w:rsidRPr="00392ED6">
              <w:rPr>
                <w:rFonts w:eastAsia="Calibri"/>
                <w:bCs/>
                <w:lang w:val="tr-TR"/>
              </w:rPr>
              <w:t>1.5</w:t>
            </w:r>
            <w:proofErr w:type="gramEnd"/>
            <w:r w:rsidRPr="00392ED6">
              <w:rPr>
                <w:rFonts w:eastAsia="Calibri"/>
                <w:bCs/>
                <w:lang w:val="tr-TR"/>
              </w:rPr>
              <w:t>-8.9±2.1)</w:t>
            </w:r>
          </w:p>
        </w:tc>
      </w:tr>
    </w:tbl>
    <w:p w:rsidR="00392ED6" w:rsidRPr="00392ED6" w:rsidRDefault="00392ED6" w:rsidP="00392ED6">
      <w:pPr>
        <w:spacing w:after="200" w:line="360" w:lineRule="auto"/>
        <w:jc w:val="both"/>
        <w:rPr>
          <w:rFonts w:eastAsia="Calibri"/>
          <w:b/>
          <w:bCs/>
          <w:lang w:val="tr-TR"/>
        </w:rPr>
      </w:pPr>
    </w:p>
    <w:p w:rsidR="00392ED6" w:rsidRPr="00392ED6" w:rsidRDefault="00392ED6" w:rsidP="00392ED6">
      <w:pPr>
        <w:spacing w:after="200" w:line="360" w:lineRule="auto"/>
        <w:ind w:firstLine="708"/>
        <w:jc w:val="both"/>
        <w:rPr>
          <w:rFonts w:eastAsia="Calibri"/>
          <w:bCs/>
          <w:lang w:val="tr-TR"/>
        </w:rPr>
      </w:pPr>
      <w:r w:rsidRPr="00392ED6">
        <w:rPr>
          <w:rFonts w:eastAsia="Calibri"/>
          <w:bCs/>
          <w:lang w:val="tr-TR"/>
        </w:rPr>
        <w:t xml:space="preserve">Hastaların VEGF, NO ve Ang II düzeyleri arasında bazal ve 6 siklus tedavi sonrası değişimleri açısından farklılık olup olmadığı </w:t>
      </w:r>
      <w:proofErr w:type="gramStart"/>
      <w:r w:rsidRPr="00392ED6">
        <w:rPr>
          <w:rFonts w:eastAsia="Calibri"/>
          <w:bCs/>
          <w:lang w:val="tr-TR"/>
        </w:rPr>
        <w:t>incelendiğinde  Delta</w:t>
      </w:r>
      <w:proofErr w:type="gramEnd"/>
      <w:r w:rsidRPr="00392ED6">
        <w:rPr>
          <w:rFonts w:eastAsia="Calibri"/>
          <w:bCs/>
          <w:lang w:val="tr-TR"/>
        </w:rPr>
        <w:t xml:space="preserve"> VEGF -120.5, Delta NO -14.3 ve Delta ANG II -3.38 olarak saptandı. VEGF düzeyleri arasındaki değişim istatiksel olarak anlamlı olarak düşme eğilimi şeklindeyken p= 0,009, NO ve ANG II düzeyleri açısından istatiksel olarak anlamlı bir farklılık saptanmadı (Tablo.6). </w:t>
      </w:r>
    </w:p>
    <w:p w:rsidR="00392ED6" w:rsidRPr="00392ED6" w:rsidRDefault="00392ED6" w:rsidP="00392ED6">
      <w:pPr>
        <w:spacing w:after="200" w:line="360" w:lineRule="auto"/>
        <w:jc w:val="both"/>
        <w:rPr>
          <w:rFonts w:eastAsia="Calibri"/>
          <w:bCs/>
          <w:lang w:val="tr-TR"/>
        </w:rPr>
      </w:pPr>
      <w:r w:rsidRPr="00392ED6">
        <w:rPr>
          <w:rFonts w:eastAsia="Calibri"/>
          <w:b/>
          <w:bCs/>
          <w:lang w:val="tr-TR"/>
        </w:rPr>
        <w:t>Tablo.6 Serum VEGF, NO ve ANG II düzeyleri arasındaki değişim düzeyleri</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70"/>
        <w:gridCol w:w="3071"/>
        <w:gridCol w:w="3071"/>
      </w:tblGrid>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bCs/>
                <w:lang w:val="tr-TR"/>
              </w:rPr>
            </w:pPr>
          </w:p>
        </w:tc>
        <w:tc>
          <w:tcPr>
            <w:tcW w:w="3071"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Ortanca (min-maks±std)</w:t>
            </w:r>
          </w:p>
        </w:tc>
        <w:tc>
          <w:tcPr>
            <w:tcW w:w="3071"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P değeri</w:t>
            </w: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Delta VEGF pg/ml</w:t>
            </w:r>
          </w:p>
        </w:tc>
        <w:tc>
          <w:tcPr>
            <w:tcW w:w="3071"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-120.5 (-</w:t>
            </w:r>
            <w:proofErr w:type="gramStart"/>
            <w:r w:rsidRPr="00392ED6">
              <w:rPr>
                <w:rFonts w:eastAsia="Calibri"/>
                <w:bCs/>
                <w:lang w:val="tr-TR"/>
              </w:rPr>
              <w:t>609.4</w:t>
            </w:r>
            <w:proofErr w:type="gramEnd"/>
            <w:r w:rsidRPr="00392ED6">
              <w:rPr>
                <w:rFonts w:eastAsia="Calibri"/>
                <w:bCs/>
                <w:lang w:val="tr-TR"/>
              </w:rPr>
              <w:t>-320.9±204.1)</w:t>
            </w:r>
          </w:p>
        </w:tc>
        <w:tc>
          <w:tcPr>
            <w:tcW w:w="3071"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0,009</w:t>
            </w: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Delta NO pg/ml</w:t>
            </w:r>
          </w:p>
        </w:tc>
        <w:tc>
          <w:tcPr>
            <w:tcW w:w="3071"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1.77 (-</w:t>
            </w:r>
            <w:proofErr w:type="gramStart"/>
            <w:r w:rsidRPr="00392ED6">
              <w:rPr>
                <w:rFonts w:eastAsia="Calibri"/>
                <w:bCs/>
                <w:lang w:val="tr-TR"/>
              </w:rPr>
              <w:t>14.3</w:t>
            </w:r>
            <w:proofErr w:type="gramEnd"/>
            <w:r w:rsidRPr="00392ED6">
              <w:rPr>
                <w:rFonts w:eastAsia="Calibri"/>
                <w:bCs/>
                <w:lang w:val="tr-TR"/>
              </w:rPr>
              <w:t>-13.75±6.5)</w:t>
            </w:r>
          </w:p>
        </w:tc>
        <w:tc>
          <w:tcPr>
            <w:tcW w:w="3071"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0,391</w:t>
            </w: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Delta ANG II pg/ml</w:t>
            </w:r>
          </w:p>
        </w:tc>
        <w:tc>
          <w:tcPr>
            <w:tcW w:w="3071"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-3.74 (-3.38-3.37±1.96)</w:t>
            </w:r>
          </w:p>
        </w:tc>
        <w:tc>
          <w:tcPr>
            <w:tcW w:w="3071" w:type="dxa"/>
            <w:shd w:val="clear" w:color="auto" w:fill="auto"/>
          </w:tcPr>
          <w:p w:rsidR="00392ED6" w:rsidRPr="00392ED6" w:rsidRDefault="00392ED6" w:rsidP="00392ED6">
            <w:pPr>
              <w:spacing w:after="200" w:line="360" w:lineRule="auto"/>
              <w:jc w:val="both"/>
              <w:rPr>
                <w:rFonts w:eastAsia="Calibri"/>
                <w:bCs/>
                <w:lang w:val="tr-TR"/>
              </w:rPr>
            </w:pPr>
            <w:r w:rsidRPr="00392ED6">
              <w:rPr>
                <w:rFonts w:eastAsia="Calibri"/>
                <w:bCs/>
                <w:lang w:val="tr-TR"/>
              </w:rPr>
              <w:t>0,526</w:t>
            </w:r>
          </w:p>
        </w:tc>
      </w:tr>
    </w:tbl>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ab/>
      </w:r>
    </w:p>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ab/>
        <w:t xml:space="preserve">Hastalarda tümör </w:t>
      </w:r>
      <w:proofErr w:type="gramStart"/>
      <w:r w:rsidRPr="00392ED6">
        <w:rPr>
          <w:rFonts w:eastAsia="Calibri"/>
          <w:bCs/>
          <w:color w:val="000000"/>
          <w:lang w:val="tr-TR" w:eastAsia="tr-TR"/>
        </w:rPr>
        <w:t>belirteçlerinde  değişimle</w:t>
      </w:r>
      <w:proofErr w:type="gramEnd"/>
      <w:r w:rsidRPr="00392ED6">
        <w:rPr>
          <w:rFonts w:eastAsia="Calibri"/>
          <w:bCs/>
          <w:color w:val="000000"/>
          <w:lang w:val="tr-TR" w:eastAsia="tr-TR"/>
        </w:rPr>
        <w:t xml:space="preserve"> serum VEGF, NO ve ANG II düzeyleri arasındaki değişim yönünden bir korelasyon olup olmadığı incelendiğinde tümör belirteçlerindeki değişim birbirleriyle korele olarak saptandı. (p= 0,001)  Ayrıca VEGF ve ANG II düzeyleri arasındaki değişimde istatiksel anlamlı olarak koreleydi. (p= 0,027) Diğer parametreler arasında anlamlı bir </w:t>
      </w:r>
      <w:proofErr w:type="gramStart"/>
      <w:r w:rsidRPr="00392ED6">
        <w:rPr>
          <w:rFonts w:eastAsia="Calibri"/>
          <w:bCs/>
          <w:color w:val="000000"/>
          <w:lang w:val="tr-TR" w:eastAsia="tr-TR"/>
        </w:rPr>
        <w:t>korelasyon</w:t>
      </w:r>
      <w:proofErr w:type="gramEnd"/>
      <w:r w:rsidRPr="00392ED6">
        <w:rPr>
          <w:rFonts w:eastAsia="Calibri"/>
          <w:bCs/>
          <w:color w:val="000000"/>
          <w:lang w:val="tr-TR" w:eastAsia="tr-TR"/>
        </w:rPr>
        <w:t xml:space="preserve"> saptanmadı (Tablo.7).</w:t>
      </w:r>
    </w:p>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
          <w:bCs/>
          <w:lang w:val="tr-TR"/>
        </w:rPr>
        <w:lastRenderedPageBreak/>
        <w:t>Tablo.7 Tümör belirteçleri ve VEGF, NO, ANG II değişim düzeyleri arasındaki ilişki</w:t>
      </w:r>
    </w:p>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5"/>
        <w:gridCol w:w="1535"/>
        <w:gridCol w:w="1535"/>
        <w:gridCol w:w="1535"/>
        <w:gridCol w:w="1536"/>
        <w:gridCol w:w="1536"/>
      </w:tblGrid>
      <w:tr w:rsidR="00392ED6" w:rsidRPr="00392ED6" w:rsidTr="00392ED6">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Delta CEA</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Delta Ca19.9</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Delta ANGII</w:t>
            </w: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Delta VEGF</w:t>
            </w: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Delta NO</w:t>
            </w:r>
          </w:p>
        </w:tc>
      </w:tr>
      <w:tr w:rsidR="00392ED6" w:rsidRPr="00392ED6" w:rsidTr="00392ED6">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Delta CEA</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P=0,001</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P=0,892</w:t>
            </w: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P=0,913</w:t>
            </w: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P=0,968</w:t>
            </w:r>
          </w:p>
        </w:tc>
      </w:tr>
      <w:tr w:rsidR="00392ED6" w:rsidRPr="00392ED6" w:rsidTr="00392ED6">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Delta Ca19.9</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P=0,001</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P=0,27</w:t>
            </w: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P=0,54</w:t>
            </w: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P=0,25</w:t>
            </w:r>
          </w:p>
        </w:tc>
      </w:tr>
      <w:tr w:rsidR="00392ED6" w:rsidRPr="00392ED6" w:rsidTr="00392ED6">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Delta ANGII</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P=0,892</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P=0,27</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P=0,027</w:t>
            </w: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P=0,27</w:t>
            </w:r>
          </w:p>
        </w:tc>
      </w:tr>
      <w:tr w:rsidR="00392ED6" w:rsidRPr="00392ED6" w:rsidTr="00392ED6">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Delta VEGF</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P=0,913</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P=0,54</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P=0,027</w:t>
            </w: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P=0,48</w:t>
            </w:r>
          </w:p>
        </w:tc>
      </w:tr>
      <w:tr w:rsidR="00392ED6" w:rsidRPr="00392ED6" w:rsidTr="00392ED6">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Delta NO</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P=0,968</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P=0,25</w:t>
            </w:r>
          </w:p>
        </w:tc>
        <w:tc>
          <w:tcPr>
            <w:tcW w:w="1535"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P=0,27</w:t>
            </w: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r w:rsidRPr="00392ED6">
              <w:rPr>
                <w:rFonts w:eastAsia="Calibri"/>
                <w:bCs/>
                <w:color w:val="000000"/>
                <w:lang w:val="tr-TR" w:eastAsia="tr-TR"/>
              </w:rPr>
              <w:t>P=0,48</w:t>
            </w:r>
          </w:p>
        </w:tc>
        <w:tc>
          <w:tcPr>
            <w:tcW w:w="1536" w:type="dxa"/>
            <w:shd w:val="clear" w:color="auto" w:fill="auto"/>
          </w:tcPr>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p>
        </w:tc>
      </w:tr>
    </w:tbl>
    <w:p w:rsidR="00392ED6" w:rsidRPr="00392ED6" w:rsidRDefault="00392ED6" w:rsidP="00392ED6">
      <w:pPr>
        <w:spacing w:after="200" w:line="360" w:lineRule="auto"/>
        <w:jc w:val="both"/>
        <w:rPr>
          <w:rFonts w:eastAsia="Calibri"/>
          <w:b/>
          <w:bCs/>
          <w:lang w:val="tr-TR"/>
        </w:rPr>
      </w:pPr>
    </w:p>
    <w:p w:rsidR="00392ED6" w:rsidRPr="00392ED6" w:rsidRDefault="00392ED6" w:rsidP="00392ED6">
      <w:pPr>
        <w:spacing w:after="200" w:line="360" w:lineRule="auto"/>
        <w:jc w:val="both"/>
        <w:rPr>
          <w:rFonts w:eastAsia="Calibri"/>
          <w:b/>
          <w:bCs/>
          <w:lang w:val="tr-TR"/>
        </w:rPr>
      </w:pPr>
      <w:r w:rsidRPr="00392ED6">
        <w:rPr>
          <w:rFonts w:eastAsia="Calibri"/>
          <w:b/>
          <w:bCs/>
          <w:lang w:val="tr-TR"/>
        </w:rPr>
        <w:t xml:space="preserve">4.3. Hastaların kan basınçları, proteinüri durumları ve tümör cevapları yönünden değişimleri </w:t>
      </w:r>
    </w:p>
    <w:p w:rsidR="00392ED6" w:rsidRPr="00392ED6" w:rsidRDefault="00392ED6" w:rsidP="00392ED6">
      <w:pPr>
        <w:spacing w:after="200" w:line="360" w:lineRule="auto"/>
        <w:ind w:firstLine="708"/>
        <w:jc w:val="both"/>
        <w:rPr>
          <w:rFonts w:eastAsia="Calibri"/>
          <w:b/>
          <w:bCs/>
          <w:lang w:val="tr-TR"/>
        </w:rPr>
      </w:pPr>
      <w:r w:rsidRPr="00392ED6">
        <w:rPr>
          <w:rFonts w:eastAsia="Calibri"/>
          <w:lang w:val="tr-TR"/>
        </w:rPr>
        <w:t xml:space="preserve">Hastaların poliklinikte muayene esnasında ve evde iki </w:t>
      </w:r>
      <w:proofErr w:type="gramStart"/>
      <w:r w:rsidRPr="00392ED6">
        <w:rPr>
          <w:rFonts w:eastAsia="Calibri"/>
          <w:lang w:val="tr-TR"/>
        </w:rPr>
        <w:t>kemoterapi</w:t>
      </w:r>
      <w:proofErr w:type="gramEnd"/>
      <w:r w:rsidRPr="00392ED6">
        <w:rPr>
          <w:rFonts w:eastAsia="Calibri"/>
          <w:lang w:val="tr-TR"/>
        </w:rPr>
        <w:t xml:space="preserve"> arasındaki ara dönemde digital kan basıncı ölçüm cihazıyla günde 2 defa kan basınçlarını ölçmeleri ve bu değerleri kaydederek bir sonraki kemoterapi için merkeze başvurduklarında bu değerleri hekime iletmeleri istendi. Buna göre hastaların tüm ölçümleri istatistik programına kaydededilerek analiz edildi ve takiplerinde hipertansiyon gelişip gelişmediği sistolik ve diyasotolik kan basınçları </w:t>
      </w:r>
      <w:proofErr w:type="gramStart"/>
      <w:r w:rsidRPr="00392ED6">
        <w:rPr>
          <w:rFonts w:eastAsia="Calibri"/>
          <w:lang w:val="tr-TR"/>
        </w:rPr>
        <w:t>baz</w:t>
      </w:r>
      <w:proofErr w:type="gramEnd"/>
      <w:r w:rsidRPr="00392ED6">
        <w:rPr>
          <w:rFonts w:eastAsia="Calibri"/>
          <w:lang w:val="tr-TR"/>
        </w:rPr>
        <w:t xml:space="preserve"> alınarak JNC 7’nin sınıflamasına göre belirlendi. Buna </w:t>
      </w:r>
      <w:proofErr w:type="gramStart"/>
      <w:r w:rsidRPr="00392ED6">
        <w:rPr>
          <w:rFonts w:eastAsia="Calibri"/>
          <w:lang w:val="tr-TR"/>
        </w:rPr>
        <w:t>göre  1</w:t>
      </w:r>
      <w:proofErr w:type="gramEnd"/>
      <w:r w:rsidRPr="00392ED6">
        <w:rPr>
          <w:rFonts w:eastAsia="Calibri"/>
          <w:lang w:val="tr-TR"/>
        </w:rPr>
        <w:t xml:space="preserve"> hastada (%4.2) hipertansiyon gelişmezken, 5 hastada (%20.8) prehipertansiyon, 15 hastada (%62.5) Evre 1 hipertansiyon ve 3 hastada (%12.5) Evre 2 hipertansiyon geliştiği saptandı. Başlangıçta hipertansiyonu olan 5 hastanın hiçbirinde kan basıncı düzeylerinde dengesiz bir değişim gözlenmezken başlangıçta hipertansiyonu olmayan hastalardan 3’ünde (%</w:t>
      </w:r>
      <w:proofErr w:type="gramStart"/>
      <w:r w:rsidRPr="00392ED6">
        <w:rPr>
          <w:rFonts w:eastAsia="Calibri"/>
          <w:lang w:val="tr-TR"/>
        </w:rPr>
        <w:t>12.5</w:t>
      </w:r>
      <w:proofErr w:type="gramEnd"/>
      <w:r w:rsidRPr="00392ED6">
        <w:rPr>
          <w:rFonts w:eastAsia="Calibri"/>
          <w:lang w:val="tr-TR"/>
        </w:rPr>
        <w:t xml:space="preserve">) evre 2 hipertansiyon gelişmesi nedeniyle çeşitli sikluslarda antihipertansif ilaç başlanması gerekti ve sonrasında bu hastalarında kan basınçları kontrol altına alındı </w:t>
      </w:r>
      <w:r w:rsidRPr="00392ED6">
        <w:rPr>
          <w:rFonts w:eastAsia="Calibri"/>
          <w:b/>
          <w:lang w:val="tr-TR"/>
        </w:rPr>
        <w:t>(Şekil.5).</w:t>
      </w:r>
    </w:p>
    <w:p w:rsidR="00392ED6" w:rsidRPr="00392ED6" w:rsidRDefault="00392ED6" w:rsidP="00392ED6">
      <w:pPr>
        <w:spacing w:after="200" w:line="360" w:lineRule="auto"/>
        <w:jc w:val="both"/>
        <w:rPr>
          <w:rFonts w:eastAsia="Calibri"/>
          <w:lang w:val="tr-TR"/>
        </w:rPr>
      </w:pPr>
      <w:r>
        <w:rPr>
          <w:rFonts w:ascii="Calibri" w:eastAsia="Calibri" w:hAnsi="Calibri" w:cs="Calibri"/>
          <w:noProof/>
          <w:sz w:val="22"/>
          <w:szCs w:val="22"/>
          <w:lang w:val="tr-TR" w:eastAsia="tr-TR"/>
        </w:rPr>
        <w:lastRenderedPageBreak/>
        <w:drawing>
          <wp:inline distT="0" distB="0" distL="0" distR="0">
            <wp:extent cx="5757545" cy="4394200"/>
            <wp:effectExtent l="0" t="0" r="0" b="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7545" cy="4394200"/>
                    </a:xfrm>
                    <a:prstGeom prst="rect">
                      <a:avLst/>
                    </a:prstGeom>
                    <a:noFill/>
                    <a:ln>
                      <a:noFill/>
                    </a:ln>
                  </pic:spPr>
                </pic:pic>
              </a:graphicData>
            </a:graphic>
          </wp:inline>
        </w:drawing>
      </w:r>
      <w:r w:rsidRPr="00392ED6">
        <w:rPr>
          <w:rFonts w:eastAsia="Calibri"/>
          <w:lang w:val="tr-TR"/>
        </w:rPr>
        <w:tab/>
      </w:r>
      <w:r w:rsidRPr="00392ED6">
        <w:rPr>
          <w:rFonts w:eastAsia="Calibri"/>
          <w:b/>
          <w:lang w:val="tr-TR"/>
        </w:rPr>
        <w:t>Şekil.5 Hastalarda 6 siklus tedavi sonrası kan basıncı değişimleri</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Tüm hastaların bazal olarak ve sonraki sikluslarda idrar analizleri yapılarak proteinuri gelişip gelişmediği incelendi. Hastaların hiçbirisinde nefrotik düzeyde proteinüri gözlenmezken sadece başlangıçta hipertansif olan 5 hastanın 3’ünde (%</w:t>
      </w:r>
      <w:proofErr w:type="gramStart"/>
      <w:r w:rsidRPr="00392ED6">
        <w:rPr>
          <w:rFonts w:eastAsia="Calibri"/>
          <w:lang w:val="tr-TR"/>
        </w:rPr>
        <w:t>12.5</w:t>
      </w:r>
      <w:proofErr w:type="gramEnd"/>
      <w:r w:rsidRPr="00392ED6">
        <w:rPr>
          <w:rFonts w:eastAsia="Calibri"/>
          <w:lang w:val="tr-TR"/>
        </w:rPr>
        <w:t>) mikroalbümünüri saptandı. Takiplerde Evre 2 hipertansiyon gelişen 3 hastada da mikroalbümünüri gelişti (%</w:t>
      </w:r>
      <w:proofErr w:type="gramStart"/>
      <w:r w:rsidRPr="00392ED6">
        <w:rPr>
          <w:rFonts w:eastAsia="Calibri"/>
          <w:lang w:val="tr-TR"/>
        </w:rPr>
        <w:t>12.5</w:t>
      </w:r>
      <w:proofErr w:type="gramEnd"/>
      <w:r w:rsidRPr="00392ED6">
        <w:rPr>
          <w:rFonts w:eastAsia="Calibri"/>
          <w:lang w:val="tr-TR"/>
        </w:rPr>
        <w:t xml:space="preserve">) ve toplam proteinürisi olan hasta sayısı 6’ya yükseldi (%25) </w:t>
      </w:r>
      <w:r w:rsidRPr="00392ED6">
        <w:rPr>
          <w:rFonts w:eastAsia="Calibri"/>
          <w:b/>
          <w:lang w:val="tr-TR"/>
        </w:rPr>
        <w:t>(Şekil.6).</w:t>
      </w:r>
    </w:p>
    <w:p w:rsidR="00392ED6" w:rsidRPr="00392ED6" w:rsidRDefault="00392ED6" w:rsidP="00392ED6">
      <w:pPr>
        <w:spacing w:after="200" w:line="360" w:lineRule="auto"/>
        <w:ind w:firstLine="708"/>
        <w:jc w:val="both"/>
        <w:rPr>
          <w:rFonts w:eastAsia="Calibri"/>
          <w:lang w:val="tr-TR"/>
        </w:rPr>
      </w:pPr>
      <w:r>
        <w:rPr>
          <w:rFonts w:ascii="$F$" w:eastAsia="Calibri" w:hAnsi="$F$" w:cs="$F$"/>
          <w:noProof/>
          <w:sz w:val="14"/>
          <w:szCs w:val="14"/>
          <w:lang w:val="tr-TR" w:eastAsia="tr-TR"/>
        </w:rPr>
        <w:lastRenderedPageBreak/>
        <w:drawing>
          <wp:inline distT="0" distB="0" distL="0" distR="0">
            <wp:extent cx="5384800" cy="4250055"/>
            <wp:effectExtent l="0" t="0" r="0" b="0"/>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84800" cy="4250055"/>
                    </a:xfrm>
                    <a:prstGeom prst="rect">
                      <a:avLst/>
                    </a:prstGeom>
                    <a:noFill/>
                    <a:ln>
                      <a:noFill/>
                    </a:ln>
                  </pic:spPr>
                </pic:pic>
              </a:graphicData>
            </a:graphic>
          </wp:inline>
        </w:drawing>
      </w:r>
    </w:p>
    <w:p w:rsidR="00392ED6" w:rsidRPr="00392ED6" w:rsidRDefault="00392ED6" w:rsidP="00392ED6">
      <w:pPr>
        <w:spacing w:after="200" w:line="360" w:lineRule="auto"/>
        <w:jc w:val="both"/>
        <w:rPr>
          <w:rFonts w:eastAsia="Calibri"/>
          <w:b/>
          <w:lang w:val="tr-TR"/>
        </w:rPr>
      </w:pPr>
      <w:r w:rsidRPr="00392ED6">
        <w:rPr>
          <w:rFonts w:eastAsia="Calibri"/>
          <w:b/>
          <w:lang w:val="tr-TR"/>
        </w:rPr>
        <w:t>Şekil.6 Hastalarda 6 siklus tedavi sonrası proteinüri gelişimi</w:t>
      </w:r>
    </w:p>
    <w:p w:rsidR="00392ED6" w:rsidRPr="00392ED6" w:rsidRDefault="00392ED6" w:rsidP="00392ED6">
      <w:pPr>
        <w:spacing w:after="200" w:line="360" w:lineRule="auto"/>
        <w:jc w:val="both"/>
        <w:rPr>
          <w:rFonts w:eastAsia="Calibri"/>
          <w:lang w:val="tr-TR"/>
        </w:rPr>
      </w:pPr>
      <w:r w:rsidRPr="00392ED6">
        <w:rPr>
          <w:rFonts w:eastAsia="Calibri"/>
          <w:lang w:val="tr-TR"/>
        </w:rPr>
        <w:tab/>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 xml:space="preserve">Hastaların çalışma başlangıcında ve 6 siklus tedavi sonrası tümör marker düzeyleri ve radyolojik görüntülemelerine göre (spiral BT, MRG ve PET BT) ‘Response Evoluation Criteria in Solid Tumors’ (RECIST) kriterleri de </w:t>
      </w:r>
      <w:proofErr w:type="gramStart"/>
      <w:r w:rsidRPr="00392ED6">
        <w:rPr>
          <w:rFonts w:eastAsia="Calibri"/>
          <w:lang w:val="tr-TR"/>
        </w:rPr>
        <w:t>baz</w:t>
      </w:r>
      <w:proofErr w:type="gramEnd"/>
      <w:r w:rsidRPr="00392ED6">
        <w:rPr>
          <w:rFonts w:eastAsia="Calibri"/>
          <w:lang w:val="tr-TR"/>
        </w:rPr>
        <w:t xml:space="preserve"> alınarak tümör cevaplarına bakıldı. Buna göre 2 hastada (%8.3) </w:t>
      </w:r>
      <w:proofErr w:type="gramStart"/>
      <w:r w:rsidRPr="00392ED6">
        <w:rPr>
          <w:rFonts w:eastAsia="Calibri"/>
          <w:lang w:val="tr-TR"/>
        </w:rPr>
        <w:t>progresif  hastalık</w:t>
      </w:r>
      <w:proofErr w:type="gramEnd"/>
      <w:r w:rsidRPr="00392ED6">
        <w:rPr>
          <w:rFonts w:eastAsia="Calibri"/>
          <w:lang w:val="tr-TR"/>
        </w:rPr>
        <w:t xml:space="preserve"> saptanırken, 1 (%4.2) hastada stabil yanıt, 14 hastada (%58.3) parsiyel yanıt ve 7 hastada ise (%29.2) komplet yanıt saptandı </w:t>
      </w:r>
      <w:r w:rsidRPr="00392ED6">
        <w:rPr>
          <w:rFonts w:eastAsia="Calibri"/>
          <w:b/>
          <w:lang w:val="tr-TR"/>
        </w:rPr>
        <w:t>(Şekil.7).</w:t>
      </w:r>
      <w:r w:rsidRPr="00392ED6">
        <w:rPr>
          <w:rFonts w:eastAsia="Calibri"/>
          <w:lang w:val="tr-TR"/>
        </w:rPr>
        <w:t xml:space="preserve"> </w:t>
      </w:r>
    </w:p>
    <w:p w:rsidR="00392ED6" w:rsidRPr="00392ED6" w:rsidRDefault="00392ED6" w:rsidP="00392ED6">
      <w:pPr>
        <w:spacing w:after="200" w:line="360" w:lineRule="auto"/>
        <w:jc w:val="both"/>
        <w:rPr>
          <w:rFonts w:eastAsia="Calibri"/>
          <w:lang w:val="tr-TR"/>
        </w:rPr>
      </w:pPr>
      <w:r>
        <w:rPr>
          <w:rFonts w:ascii="Calibri" w:eastAsia="Calibri" w:hAnsi="Calibri" w:cs="Calibri"/>
          <w:noProof/>
          <w:sz w:val="22"/>
          <w:szCs w:val="22"/>
          <w:lang w:val="tr-TR" w:eastAsia="tr-TR"/>
        </w:rPr>
        <w:lastRenderedPageBreak/>
        <w:drawing>
          <wp:inline distT="0" distB="0" distL="0" distR="0">
            <wp:extent cx="5757545" cy="4504055"/>
            <wp:effectExtent l="0" t="0" r="0" b="0"/>
            <wp:docPr id="9" name="Resim 9"/>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Grp="1"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7545" cy="4504055"/>
                    </a:xfrm>
                    <a:prstGeom prst="rect">
                      <a:avLst/>
                    </a:prstGeom>
                    <a:noFill/>
                    <a:ln>
                      <a:noFill/>
                    </a:ln>
                  </pic:spPr>
                </pic:pic>
              </a:graphicData>
            </a:graphic>
          </wp:inline>
        </w:drawing>
      </w:r>
    </w:p>
    <w:p w:rsidR="00392ED6" w:rsidRPr="00392ED6" w:rsidRDefault="00392ED6" w:rsidP="00392ED6">
      <w:pPr>
        <w:spacing w:after="200" w:line="360" w:lineRule="auto"/>
        <w:jc w:val="both"/>
        <w:rPr>
          <w:rFonts w:eastAsia="Calibri"/>
          <w:b/>
          <w:lang w:val="tr-TR"/>
        </w:rPr>
      </w:pPr>
      <w:r w:rsidRPr="00392ED6">
        <w:rPr>
          <w:rFonts w:eastAsia="Calibri"/>
          <w:b/>
          <w:lang w:val="tr-TR"/>
        </w:rPr>
        <w:t>Şekil.7 Hastalarda 6 siklus tedavi sonrası tümör yanıtı</w:t>
      </w:r>
    </w:p>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ind w:firstLine="708"/>
        <w:jc w:val="both"/>
        <w:rPr>
          <w:rFonts w:eastAsia="Calibri"/>
          <w:b/>
          <w:lang w:val="tr-TR"/>
        </w:rPr>
      </w:pPr>
      <w:r w:rsidRPr="00392ED6">
        <w:rPr>
          <w:rFonts w:eastAsia="Calibri"/>
          <w:lang w:val="tr-TR"/>
        </w:rPr>
        <w:t xml:space="preserve">Tümör cevabıyla serum VEGF, NO ve ANG II’nin bazal ve 6 siklus tedavi sonrası düzeyleri arasındaki ilişki ve bu iki düzey arasındaki farkların tümör cevabıyla olan ilişkisi incelendiğinde sadece 6 siklus tedavi sonrası hastalara ait serum VEGF düzeylerinin tümör cevabıyla ilişkisinin olduğu saptandı. VEGF’nin 6 siklus sonraki düzeyleri tümörü yanıt vermeyen hastalarda ortanca </w:t>
      </w:r>
      <w:proofErr w:type="gramStart"/>
      <w:r w:rsidRPr="00392ED6">
        <w:rPr>
          <w:rFonts w:eastAsia="Calibri"/>
          <w:lang w:val="tr-TR"/>
        </w:rPr>
        <w:t>24.7</w:t>
      </w:r>
      <w:proofErr w:type="gramEnd"/>
      <w:r w:rsidRPr="00392ED6">
        <w:rPr>
          <w:rFonts w:eastAsia="Calibri"/>
          <w:lang w:val="tr-TR"/>
        </w:rPr>
        <w:t xml:space="preserve"> pg/ml  (12.4-84.9±38.8) iken tümörü yanıt veren hastalarda 87.4 pg/ml (40.2-380.8±70.6) olarak saptandı(p= 0.05). Yani 6 siklus tedavi sonrası serum VEGF düzeyleri tüm hastalarda düşme </w:t>
      </w:r>
      <w:proofErr w:type="gramStart"/>
      <w:r w:rsidRPr="00392ED6">
        <w:rPr>
          <w:rFonts w:eastAsia="Calibri"/>
          <w:lang w:val="tr-TR"/>
        </w:rPr>
        <w:t>eğilimdeydi  ve</w:t>
      </w:r>
      <w:proofErr w:type="gramEnd"/>
      <w:r w:rsidRPr="00392ED6">
        <w:rPr>
          <w:rFonts w:eastAsia="Calibri"/>
          <w:lang w:val="tr-TR"/>
        </w:rPr>
        <w:t xml:space="preserve"> tümörü cevap veren hastalarda bu düşüş vermeyenlere göre daha azdı </w:t>
      </w:r>
      <w:r w:rsidRPr="00392ED6">
        <w:rPr>
          <w:rFonts w:eastAsia="Calibri"/>
          <w:b/>
          <w:lang w:val="tr-TR"/>
        </w:rPr>
        <w:t>(Şekil.8)</w:t>
      </w:r>
    </w:p>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jc w:val="both"/>
        <w:rPr>
          <w:rFonts w:eastAsia="Calibri"/>
          <w:lang w:val="tr-TR"/>
        </w:rPr>
      </w:pPr>
      <w:r>
        <w:rPr>
          <w:rFonts w:ascii="$F$" w:eastAsia="Calibri" w:hAnsi="$F$" w:cs="$F$"/>
          <w:noProof/>
          <w:sz w:val="14"/>
          <w:szCs w:val="14"/>
          <w:lang w:val="tr-TR" w:eastAsia="tr-TR"/>
        </w:rPr>
        <w:lastRenderedPageBreak/>
        <w:drawing>
          <wp:inline distT="0" distB="0" distL="0" distR="0">
            <wp:extent cx="5765800" cy="5537200"/>
            <wp:effectExtent l="0" t="0" r="0"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5800" cy="5537200"/>
                    </a:xfrm>
                    <a:prstGeom prst="rect">
                      <a:avLst/>
                    </a:prstGeom>
                    <a:noFill/>
                    <a:ln>
                      <a:noFill/>
                    </a:ln>
                  </pic:spPr>
                </pic:pic>
              </a:graphicData>
            </a:graphic>
          </wp:inline>
        </w:drawing>
      </w:r>
    </w:p>
    <w:p w:rsidR="00392ED6" w:rsidRPr="00392ED6" w:rsidRDefault="00392ED6" w:rsidP="00392ED6">
      <w:pPr>
        <w:spacing w:after="200" w:line="360" w:lineRule="auto"/>
        <w:jc w:val="both"/>
        <w:rPr>
          <w:rFonts w:eastAsia="Calibri"/>
          <w:b/>
          <w:lang w:val="tr-TR"/>
        </w:rPr>
      </w:pPr>
      <w:r w:rsidRPr="00392ED6">
        <w:rPr>
          <w:rFonts w:eastAsia="Calibri"/>
          <w:b/>
          <w:lang w:val="tr-TR"/>
        </w:rPr>
        <w:t>Şekil.8 Hastalarda 6 siklus tedavi sonrası serum VEGF düzeyleri ile tümör cevabı arasındaki ilişki</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Tümör cevabıyla proteinüri arsındaki ilişki incelendiğinde tümör cevabı olan hastalarda proteinürinin istatiksel olarak anlamlı olacak şekilde daha fazla olduğu saptandı.(p=0,014)</w:t>
      </w:r>
    </w:p>
    <w:p w:rsidR="00392ED6" w:rsidRPr="00392ED6" w:rsidRDefault="00392ED6" w:rsidP="00392ED6">
      <w:pPr>
        <w:spacing w:after="200" w:line="360" w:lineRule="auto"/>
        <w:ind w:firstLine="708"/>
        <w:jc w:val="both"/>
        <w:rPr>
          <w:rFonts w:eastAsia="Calibri"/>
          <w:lang w:val="tr-TR"/>
        </w:rPr>
      </w:pPr>
      <w:proofErr w:type="gramStart"/>
      <w:r w:rsidRPr="00392ED6">
        <w:rPr>
          <w:rFonts w:eastAsia="Calibri"/>
          <w:lang w:val="tr-TR"/>
        </w:rPr>
        <w:t xml:space="preserve">Hipertansiyon gelişimiyle serum VEGF, NO ve ANG II’nin bazal ve 6 siklus tedavi sonrası düzeyleri arasındaki ilişki ve bu iki düzey arasındaki farkların hipertansyon ile olan ilişkisi incelendiğinde istatiksel olarak anlamlı bir ilişki saptanmazken yalnızca ANG II’nin 6 siklus tedavi sonrası düzeylerinin hipertansiyon gelişen hastalarda istatiksel olarak anlamlı olmasada daha yüksek olduğu saptandı(p=0,09) </w:t>
      </w:r>
      <w:r w:rsidRPr="00392ED6">
        <w:rPr>
          <w:rFonts w:eastAsia="Calibri"/>
          <w:b/>
          <w:lang w:val="tr-TR"/>
        </w:rPr>
        <w:t>(Şekil.9).</w:t>
      </w:r>
      <w:proofErr w:type="gramEnd"/>
    </w:p>
    <w:p w:rsidR="00392ED6" w:rsidRPr="00392ED6" w:rsidRDefault="00392ED6" w:rsidP="00392ED6">
      <w:pPr>
        <w:spacing w:after="200" w:line="360" w:lineRule="auto"/>
        <w:ind w:firstLine="708"/>
        <w:jc w:val="both"/>
        <w:rPr>
          <w:rFonts w:eastAsia="Calibri"/>
          <w:lang w:val="tr-TR"/>
        </w:rPr>
      </w:pPr>
      <w:r>
        <w:rPr>
          <w:rFonts w:ascii="$F$" w:eastAsia="Calibri" w:hAnsi="$F$" w:cs="$F$"/>
          <w:noProof/>
          <w:sz w:val="14"/>
          <w:szCs w:val="14"/>
          <w:lang w:val="tr-TR" w:eastAsia="tr-TR"/>
        </w:rPr>
        <w:lastRenderedPageBreak/>
        <w:drawing>
          <wp:inline distT="0" distB="0" distL="0" distR="0">
            <wp:extent cx="5232400" cy="5401945"/>
            <wp:effectExtent l="0" t="0" r="0" b="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32400" cy="5401945"/>
                    </a:xfrm>
                    <a:prstGeom prst="rect">
                      <a:avLst/>
                    </a:prstGeom>
                    <a:noFill/>
                    <a:ln>
                      <a:noFill/>
                    </a:ln>
                  </pic:spPr>
                </pic:pic>
              </a:graphicData>
            </a:graphic>
          </wp:inline>
        </w:drawing>
      </w:r>
    </w:p>
    <w:p w:rsidR="00392ED6" w:rsidRPr="00392ED6" w:rsidRDefault="00392ED6" w:rsidP="00392ED6">
      <w:pPr>
        <w:spacing w:after="200" w:line="360" w:lineRule="auto"/>
        <w:jc w:val="both"/>
        <w:rPr>
          <w:rFonts w:eastAsia="Calibri"/>
          <w:b/>
          <w:lang w:val="tr-TR"/>
        </w:rPr>
      </w:pPr>
      <w:r w:rsidRPr="00392ED6">
        <w:rPr>
          <w:rFonts w:eastAsia="Calibri"/>
          <w:b/>
          <w:lang w:val="tr-TR"/>
        </w:rPr>
        <w:t>Şekil.9 Hastalarda 6 siklus tedavi sonrası serum ANG II düzeyleri ile hipertansiyon arasındaki ilişki</w:t>
      </w:r>
    </w:p>
    <w:p w:rsidR="00392ED6" w:rsidRPr="00392ED6" w:rsidRDefault="00392ED6" w:rsidP="00392ED6">
      <w:pPr>
        <w:spacing w:after="200" w:line="360" w:lineRule="auto"/>
        <w:ind w:firstLine="708"/>
        <w:jc w:val="both"/>
        <w:rPr>
          <w:rFonts w:eastAsia="Calibri"/>
          <w:lang w:val="tr-TR"/>
        </w:rPr>
      </w:pPr>
    </w:p>
    <w:p w:rsidR="00392ED6" w:rsidRPr="00392ED6" w:rsidRDefault="00392ED6" w:rsidP="00392ED6">
      <w:pPr>
        <w:spacing w:after="200" w:line="360" w:lineRule="auto"/>
        <w:jc w:val="both"/>
        <w:rPr>
          <w:rFonts w:eastAsia="Calibri"/>
          <w:b/>
          <w:lang w:val="tr-TR"/>
        </w:rPr>
      </w:pPr>
      <w:r w:rsidRPr="00392ED6">
        <w:rPr>
          <w:rFonts w:eastAsia="Calibri"/>
          <w:b/>
          <w:lang w:val="tr-TR"/>
        </w:rPr>
        <w:t>4.4 Biyokimyasal ve Klinik Bulguların Hastalıksız Sağ Kalımla İlişkisi</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 xml:space="preserve">Toplam 24 hasta olması ve hastalardan yalnızca 2 tanesinin takip esnasında vefat etmesi nedeniyle genel sağ kalım hesaplanmadı. Hastaların progresyon tarihleri </w:t>
      </w:r>
      <w:proofErr w:type="gramStart"/>
      <w:r w:rsidRPr="00392ED6">
        <w:rPr>
          <w:rFonts w:eastAsia="Calibri"/>
          <w:lang w:val="tr-TR"/>
        </w:rPr>
        <w:t>baz</w:t>
      </w:r>
      <w:proofErr w:type="gramEnd"/>
      <w:r w:rsidRPr="00392ED6">
        <w:rPr>
          <w:rFonts w:eastAsia="Calibri"/>
          <w:lang w:val="tr-TR"/>
        </w:rPr>
        <w:t xml:space="preserve"> alınarak progresyonsuz sağ kalım sürelerinin biyokimyasal ve klinik bulgular ile olan ilişkisine bakıldı. Genel olarak progresyonsuz sağ kalım </w:t>
      </w:r>
      <w:proofErr w:type="gramStart"/>
      <w:r w:rsidRPr="00392ED6">
        <w:rPr>
          <w:rFonts w:eastAsia="Calibri"/>
          <w:lang w:val="tr-TR"/>
        </w:rPr>
        <w:t>18.1</w:t>
      </w:r>
      <w:proofErr w:type="gramEnd"/>
      <w:r w:rsidRPr="00392ED6">
        <w:rPr>
          <w:rFonts w:eastAsia="Calibri"/>
          <w:lang w:val="tr-TR"/>
        </w:rPr>
        <w:t xml:space="preserve"> ay (%95 GA 9.3-26.7) olarak bulundu </w:t>
      </w:r>
      <w:r w:rsidRPr="00392ED6">
        <w:rPr>
          <w:rFonts w:eastAsia="Calibri"/>
          <w:b/>
          <w:lang w:val="tr-TR"/>
        </w:rPr>
        <w:t>(Şekil.10).</w:t>
      </w:r>
    </w:p>
    <w:p w:rsidR="00392ED6" w:rsidRPr="00392ED6" w:rsidRDefault="00392ED6" w:rsidP="00392ED6">
      <w:pPr>
        <w:spacing w:after="200" w:line="360" w:lineRule="auto"/>
        <w:jc w:val="both"/>
        <w:rPr>
          <w:rFonts w:eastAsia="Calibri"/>
          <w:lang w:val="tr-TR"/>
        </w:rPr>
      </w:pPr>
      <w:r>
        <w:rPr>
          <w:rFonts w:ascii="Calibri" w:eastAsia="Calibri" w:hAnsi="Calibri" w:cs="Calibri"/>
          <w:noProof/>
          <w:sz w:val="22"/>
          <w:szCs w:val="22"/>
          <w:lang w:val="tr-TR" w:eastAsia="tr-TR"/>
        </w:rPr>
        <w:lastRenderedPageBreak/>
        <w:drawing>
          <wp:inline distT="0" distB="0" distL="0" distR="0">
            <wp:extent cx="5757545" cy="4605655"/>
            <wp:effectExtent l="0" t="0" r="0" b="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7545" cy="4605655"/>
                    </a:xfrm>
                    <a:prstGeom prst="rect">
                      <a:avLst/>
                    </a:prstGeom>
                    <a:noFill/>
                    <a:ln>
                      <a:noFill/>
                    </a:ln>
                  </pic:spPr>
                </pic:pic>
              </a:graphicData>
            </a:graphic>
          </wp:inline>
        </w:drawing>
      </w:r>
    </w:p>
    <w:p w:rsidR="00392ED6" w:rsidRPr="00392ED6" w:rsidRDefault="00392ED6" w:rsidP="00392ED6">
      <w:pPr>
        <w:spacing w:after="200" w:line="360" w:lineRule="auto"/>
        <w:jc w:val="both"/>
        <w:rPr>
          <w:rFonts w:eastAsia="Calibri"/>
          <w:b/>
          <w:lang w:val="tr-TR"/>
        </w:rPr>
      </w:pPr>
      <w:r w:rsidRPr="00392ED6">
        <w:rPr>
          <w:rFonts w:eastAsia="Calibri"/>
          <w:b/>
          <w:lang w:val="tr-TR"/>
        </w:rPr>
        <w:t>Şekil.10 Hastalara ait progresyonsuz sağ kalım eğrisi</w:t>
      </w:r>
    </w:p>
    <w:p w:rsidR="00392ED6" w:rsidRPr="00392ED6" w:rsidRDefault="00392ED6" w:rsidP="00392ED6">
      <w:pPr>
        <w:spacing w:after="200" w:line="360" w:lineRule="auto"/>
        <w:jc w:val="both"/>
        <w:rPr>
          <w:rFonts w:eastAsia="Calibri"/>
          <w:b/>
          <w:lang w:val="tr-TR"/>
        </w:rPr>
      </w:pPr>
      <w:r w:rsidRPr="00392ED6">
        <w:rPr>
          <w:rFonts w:eastAsia="Calibri"/>
          <w:b/>
          <w:lang w:val="tr-TR"/>
        </w:rPr>
        <w:tab/>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t xml:space="preserve">Hipertansiyon gelişimiyle progresyonsuz sağ kalım arasındaki ilişki incelendiğinde hipertansiyon gelişmeyen 1 hastada progresyonsuz sağ kalım </w:t>
      </w:r>
      <w:proofErr w:type="gramStart"/>
      <w:r w:rsidRPr="00392ED6">
        <w:rPr>
          <w:rFonts w:eastAsia="Calibri"/>
          <w:lang w:val="tr-TR"/>
        </w:rPr>
        <w:t>12.8</w:t>
      </w:r>
      <w:proofErr w:type="gramEnd"/>
      <w:r w:rsidRPr="00392ED6">
        <w:rPr>
          <w:rFonts w:eastAsia="Calibri"/>
          <w:lang w:val="tr-TR"/>
        </w:rPr>
        <w:t xml:space="preserve"> ay iken, prehipertansiyon gelişen hastalarda 23.1 ay (%95 GA 14.2-31.9), Evre 1 hipertansiyonu olan hastalarda 14.8 ay (%95 GA 9.3-20.4) ve Evre 2 hipertansiyonu olan hastalarda 24.4 ay (%95 GA 8.4-40.4) olarak bulundu. Her dört grup arasında istatistiksel olarak anlamlı bir farklılık yoktu (p=0,28) </w:t>
      </w:r>
      <w:r w:rsidRPr="00392ED6">
        <w:rPr>
          <w:rFonts w:eastAsia="Calibri"/>
          <w:b/>
          <w:lang w:val="tr-TR"/>
        </w:rPr>
        <w:t>(Tablo.8) (Şekil.11)</w:t>
      </w:r>
    </w:p>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jc w:val="both"/>
        <w:rPr>
          <w:rFonts w:eastAsia="Calibri"/>
          <w:lang w:val="tr-TR"/>
        </w:rPr>
      </w:pPr>
    </w:p>
    <w:p w:rsidR="00392ED6" w:rsidRPr="00392ED6" w:rsidRDefault="00392ED6" w:rsidP="00392ED6">
      <w:pPr>
        <w:tabs>
          <w:tab w:val="center" w:pos="6177"/>
        </w:tabs>
        <w:autoSpaceDE w:val="0"/>
        <w:autoSpaceDN w:val="0"/>
        <w:adjustRightInd w:val="0"/>
        <w:spacing w:line="360" w:lineRule="auto"/>
        <w:rPr>
          <w:rFonts w:eastAsia="Calibri"/>
          <w:b/>
          <w:bCs/>
          <w:lang w:val="tr-TR"/>
        </w:rPr>
      </w:pPr>
      <w:r w:rsidRPr="00392ED6">
        <w:rPr>
          <w:rFonts w:eastAsia="Calibri"/>
          <w:b/>
          <w:bCs/>
          <w:lang w:val="tr-TR"/>
        </w:rPr>
        <w:lastRenderedPageBreak/>
        <w:t>Tablo.</w:t>
      </w:r>
      <w:proofErr w:type="gramStart"/>
      <w:r w:rsidRPr="00392ED6">
        <w:rPr>
          <w:rFonts w:eastAsia="Calibri"/>
          <w:b/>
          <w:bCs/>
          <w:lang w:val="tr-TR"/>
        </w:rPr>
        <w:t>8  Kan</w:t>
      </w:r>
      <w:proofErr w:type="gramEnd"/>
      <w:r w:rsidRPr="00392ED6">
        <w:rPr>
          <w:rFonts w:eastAsia="Calibri"/>
          <w:b/>
          <w:bCs/>
          <w:lang w:val="tr-TR"/>
        </w:rPr>
        <w:t xml:space="preserve"> basıncı durumuna göre proresyonsuz sağ kalım süreleri</w:t>
      </w:r>
    </w:p>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70"/>
        <w:gridCol w:w="3071"/>
        <w:gridCol w:w="3071"/>
      </w:tblGrid>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lang w:val="tr-TR"/>
              </w:rPr>
            </w:pPr>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Ortanca (%95 GA min-maks)</w:t>
            </w:r>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P değeri</w:t>
            </w: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Hipertansiyon yok</w:t>
            </w:r>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 xml:space="preserve">12.8 (%95 GA </w:t>
            </w:r>
            <w:proofErr w:type="gramStart"/>
            <w:r w:rsidRPr="00392ED6">
              <w:rPr>
                <w:rFonts w:eastAsia="Calibri"/>
                <w:lang w:val="tr-TR"/>
              </w:rPr>
              <w:t>12.8</w:t>
            </w:r>
            <w:proofErr w:type="gramEnd"/>
            <w:r w:rsidRPr="00392ED6">
              <w:rPr>
                <w:rFonts w:eastAsia="Calibri"/>
                <w:lang w:val="tr-TR"/>
              </w:rPr>
              <w:t>-12.8)</w:t>
            </w:r>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(p=0,28)</w:t>
            </w: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Prehipertansiyon</w:t>
            </w:r>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 xml:space="preserve">23.1(%95 GA </w:t>
            </w:r>
            <w:proofErr w:type="gramStart"/>
            <w:r w:rsidRPr="00392ED6">
              <w:rPr>
                <w:rFonts w:eastAsia="Calibri"/>
                <w:lang w:val="tr-TR"/>
              </w:rPr>
              <w:t>14.2</w:t>
            </w:r>
            <w:proofErr w:type="gramEnd"/>
            <w:r w:rsidRPr="00392ED6">
              <w:rPr>
                <w:rFonts w:eastAsia="Calibri"/>
                <w:lang w:val="tr-TR"/>
              </w:rPr>
              <w:t>-31.9)</w:t>
            </w:r>
          </w:p>
        </w:tc>
        <w:tc>
          <w:tcPr>
            <w:tcW w:w="3071" w:type="dxa"/>
            <w:shd w:val="clear" w:color="auto" w:fill="auto"/>
          </w:tcPr>
          <w:p w:rsidR="00392ED6" w:rsidRPr="00392ED6" w:rsidRDefault="00392ED6" w:rsidP="00392ED6">
            <w:pPr>
              <w:spacing w:after="200" w:line="360" w:lineRule="auto"/>
              <w:jc w:val="both"/>
              <w:rPr>
                <w:rFonts w:eastAsia="Calibri"/>
                <w:lang w:val="tr-TR"/>
              </w:rPr>
            </w:pP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Evre 1 Hipertansiyon</w:t>
            </w:r>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 xml:space="preserve">14.8(%95 GA </w:t>
            </w:r>
            <w:proofErr w:type="gramStart"/>
            <w:r w:rsidRPr="00392ED6">
              <w:rPr>
                <w:rFonts w:eastAsia="Calibri"/>
                <w:lang w:val="tr-TR"/>
              </w:rPr>
              <w:t>9.3</w:t>
            </w:r>
            <w:proofErr w:type="gramEnd"/>
            <w:r w:rsidRPr="00392ED6">
              <w:rPr>
                <w:rFonts w:eastAsia="Calibri"/>
                <w:lang w:val="tr-TR"/>
              </w:rPr>
              <w:t>-20.4)</w:t>
            </w:r>
          </w:p>
        </w:tc>
        <w:tc>
          <w:tcPr>
            <w:tcW w:w="3071" w:type="dxa"/>
            <w:shd w:val="clear" w:color="auto" w:fill="auto"/>
          </w:tcPr>
          <w:p w:rsidR="00392ED6" w:rsidRPr="00392ED6" w:rsidRDefault="00392ED6" w:rsidP="00392ED6">
            <w:pPr>
              <w:spacing w:after="200" w:line="360" w:lineRule="auto"/>
              <w:jc w:val="both"/>
              <w:rPr>
                <w:rFonts w:eastAsia="Calibri"/>
                <w:lang w:val="tr-TR"/>
              </w:rPr>
            </w:pP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 xml:space="preserve">Evre </w:t>
            </w:r>
            <w:proofErr w:type="gramStart"/>
            <w:r w:rsidRPr="00392ED6">
              <w:rPr>
                <w:rFonts w:eastAsia="Calibri"/>
                <w:lang w:val="tr-TR"/>
              </w:rPr>
              <w:t>2  Hipertansiyon</w:t>
            </w:r>
            <w:proofErr w:type="gramEnd"/>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 xml:space="preserve">24.4(%95 GA </w:t>
            </w:r>
            <w:proofErr w:type="gramStart"/>
            <w:r w:rsidRPr="00392ED6">
              <w:rPr>
                <w:rFonts w:eastAsia="Calibri"/>
                <w:lang w:val="tr-TR"/>
              </w:rPr>
              <w:t>8.4</w:t>
            </w:r>
            <w:proofErr w:type="gramEnd"/>
            <w:r w:rsidRPr="00392ED6">
              <w:rPr>
                <w:rFonts w:eastAsia="Calibri"/>
                <w:lang w:val="tr-TR"/>
              </w:rPr>
              <w:t>-40.4)</w:t>
            </w:r>
          </w:p>
        </w:tc>
        <w:tc>
          <w:tcPr>
            <w:tcW w:w="3071" w:type="dxa"/>
            <w:shd w:val="clear" w:color="auto" w:fill="auto"/>
          </w:tcPr>
          <w:p w:rsidR="00392ED6" w:rsidRPr="00392ED6" w:rsidRDefault="00392ED6" w:rsidP="00392ED6">
            <w:pPr>
              <w:spacing w:after="200" w:line="360" w:lineRule="auto"/>
              <w:jc w:val="both"/>
              <w:rPr>
                <w:rFonts w:eastAsia="Calibri"/>
                <w:lang w:val="tr-TR"/>
              </w:rPr>
            </w:pPr>
          </w:p>
        </w:tc>
      </w:tr>
    </w:tbl>
    <w:p w:rsidR="00392ED6" w:rsidRPr="00392ED6" w:rsidRDefault="00392ED6" w:rsidP="00392ED6">
      <w:pPr>
        <w:spacing w:after="200" w:line="360" w:lineRule="auto"/>
        <w:jc w:val="both"/>
        <w:rPr>
          <w:rFonts w:eastAsia="Calibri"/>
          <w:lang w:val="tr-TR"/>
        </w:rPr>
      </w:pPr>
      <w:r>
        <w:rPr>
          <w:rFonts w:ascii="$F$" w:eastAsia="Calibri" w:hAnsi="$F$" w:cs="$F$"/>
          <w:noProof/>
          <w:sz w:val="14"/>
          <w:szCs w:val="14"/>
          <w:lang w:val="tr-TR" w:eastAsia="tr-TR"/>
        </w:rPr>
        <w:drawing>
          <wp:inline distT="0" distB="0" distL="0" distR="0">
            <wp:extent cx="5765800" cy="5537200"/>
            <wp:effectExtent l="0" t="0" r="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5800" cy="5537200"/>
                    </a:xfrm>
                    <a:prstGeom prst="rect">
                      <a:avLst/>
                    </a:prstGeom>
                    <a:noFill/>
                    <a:ln>
                      <a:noFill/>
                    </a:ln>
                  </pic:spPr>
                </pic:pic>
              </a:graphicData>
            </a:graphic>
          </wp:inline>
        </w:drawing>
      </w:r>
    </w:p>
    <w:p w:rsidR="00392ED6" w:rsidRPr="00392ED6" w:rsidRDefault="00392ED6" w:rsidP="00392ED6">
      <w:pPr>
        <w:spacing w:after="200" w:line="360" w:lineRule="auto"/>
        <w:ind w:firstLine="708"/>
        <w:jc w:val="both"/>
        <w:rPr>
          <w:rFonts w:eastAsia="Calibri"/>
          <w:b/>
          <w:bCs/>
          <w:lang w:val="tr-TR"/>
        </w:rPr>
      </w:pPr>
      <w:r w:rsidRPr="00392ED6">
        <w:rPr>
          <w:rFonts w:eastAsia="Calibri"/>
          <w:b/>
          <w:bCs/>
          <w:lang w:val="tr-TR"/>
        </w:rPr>
        <w:t>Şekil.11 Hipertansiyon gelişimi progresyonsuz sağ kalım eğrisi (p=0,28)</w:t>
      </w:r>
    </w:p>
    <w:p w:rsidR="00392ED6" w:rsidRPr="00392ED6" w:rsidRDefault="00392ED6" w:rsidP="00392ED6">
      <w:pPr>
        <w:spacing w:after="200" w:line="360" w:lineRule="auto"/>
        <w:ind w:firstLine="708"/>
        <w:jc w:val="both"/>
        <w:rPr>
          <w:rFonts w:eastAsia="Calibri"/>
          <w:b/>
          <w:bCs/>
          <w:lang w:val="tr-TR"/>
        </w:rPr>
      </w:pP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lastRenderedPageBreak/>
        <w:t xml:space="preserve">Proteinüri ile hastalıksız sağ kalım arasındaki ilişki incelendiğinde proteinüri olanlarda progresyonsuz sağ kalım </w:t>
      </w:r>
      <w:proofErr w:type="gramStart"/>
      <w:r w:rsidRPr="00392ED6">
        <w:rPr>
          <w:rFonts w:eastAsia="Calibri"/>
          <w:lang w:val="tr-TR"/>
        </w:rPr>
        <w:t>15.6</w:t>
      </w:r>
      <w:proofErr w:type="gramEnd"/>
      <w:r w:rsidRPr="00392ED6">
        <w:rPr>
          <w:rFonts w:eastAsia="Calibri"/>
          <w:lang w:val="tr-TR"/>
        </w:rPr>
        <w:t xml:space="preserve"> (%95 GA 4.8-26.4) iken proteinüri olmayanlarda progresyonsuz sağ kalım 19.1 (%95 GA 14.2-23.9) olarak bulundu her iki grup arasında istatiksel olarak anlamlı bir farklılık yoktu (p=0,56) </w:t>
      </w:r>
      <w:r w:rsidRPr="00392ED6">
        <w:rPr>
          <w:rFonts w:eastAsia="Calibri"/>
          <w:b/>
          <w:lang w:val="tr-TR"/>
        </w:rPr>
        <w:t>(Tablo.9) (Şekil.12)</w:t>
      </w:r>
    </w:p>
    <w:p w:rsidR="00392ED6" w:rsidRPr="00392ED6" w:rsidRDefault="00392ED6" w:rsidP="00392ED6">
      <w:pPr>
        <w:tabs>
          <w:tab w:val="center" w:pos="6177"/>
        </w:tabs>
        <w:autoSpaceDE w:val="0"/>
        <w:autoSpaceDN w:val="0"/>
        <w:adjustRightInd w:val="0"/>
        <w:spacing w:line="360" w:lineRule="auto"/>
        <w:rPr>
          <w:rFonts w:eastAsia="Calibri"/>
          <w:b/>
          <w:bCs/>
          <w:lang w:val="tr-TR"/>
        </w:rPr>
      </w:pPr>
      <w:r w:rsidRPr="00392ED6">
        <w:rPr>
          <w:rFonts w:eastAsia="Calibri"/>
          <w:b/>
          <w:bCs/>
          <w:lang w:val="tr-TR"/>
        </w:rPr>
        <w:t xml:space="preserve">Tablo.9 </w:t>
      </w:r>
      <w:proofErr w:type="gramStart"/>
      <w:r w:rsidRPr="00392ED6">
        <w:rPr>
          <w:rFonts w:eastAsia="Calibri"/>
          <w:b/>
          <w:bCs/>
          <w:lang w:val="tr-TR"/>
        </w:rPr>
        <w:t>Proteinüri  durumuna</w:t>
      </w:r>
      <w:proofErr w:type="gramEnd"/>
      <w:r w:rsidRPr="00392ED6">
        <w:rPr>
          <w:rFonts w:eastAsia="Calibri"/>
          <w:b/>
          <w:bCs/>
          <w:lang w:val="tr-TR"/>
        </w:rPr>
        <w:t xml:space="preserve"> göre progr</w:t>
      </w:r>
      <w:r>
        <w:rPr>
          <w:rFonts w:eastAsia="Calibri"/>
          <w:b/>
          <w:bCs/>
          <w:lang w:val="tr-TR"/>
        </w:rPr>
        <w:t>e</w:t>
      </w:r>
      <w:r w:rsidRPr="00392ED6">
        <w:rPr>
          <w:rFonts w:eastAsia="Calibri"/>
          <w:b/>
          <w:bCs/>
          <w:lang w:val="tr-TR"/>
        </w:rPr>
        <w:t>syonsuz sağ kalım süreleri</w:t>
      </w:r>
    </w:p>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70"/>
        <w:gridCol w:w="3071"/>
        <w:gridCol w:w="3071"/>
      </w:tblGrid>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lang w:val="tr-TR"/>
              </w:rPr>
            </w:pPr>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Ortanca (%95 GA min-maks)</w:t>
            </w:r>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P değeri</w:t>
            </w: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Proteinüri var</w:t>
            </w:r>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 xml:space="preserve">15.6 (%95 GA </w:t>
            </w:r>
            <w:proofErr w:type="gramStart"/>
            <w:r w:rsidRPr="00392ED6">
              <w:rPr>
                <w:rFonts w:eastAsia="Calibri"/>
                <w:lang w:val="tr-TR"/>
              </w:rPr>
              <w:t>4.8</w:t>
            </w:r>
            <w:proofErr w:type="gramEnd"/>
            <w:r w:rsidRPr="00392ED6">
              <w:rPr>
                <w:rFonts w:eastAsia="Calibri"/>
                <w:lang w:val="tr-TR"/>
              </w:rPr>
              <w:t>-26.4)</w:t>
            </w:r>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P=0,56</w:t>
            </w:r>
          </w:p>
        </w:tc>
      </w:tr>
      <w:tr w:rsidR="00392ED6" w:rsidRPr="00392ED6" w:rsidTr="00392ED6">
        <w:tc>
          <w:tcPr>
            <w:tcW w:w="3070"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Proteinüri yok</w:t>
            </w:r>
          </w:p>
        </w:tc>
        <w:tc>
          <w:tcPr>
            <w:tcW w:w="3071"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 xml:space="preserve">19.1 (%95 GA </w:t>
            </w:r>
            <w:proofErr w:type="gramStart"/>
            <w:r w:rsidRPr="00392ED6">
              <w:rPr>
                <w:rFonts w:eastAsia="Calibri"/>
                <w:lang w:val="tr-TR"/>
              </w:rPr>
              <w:t>14.2</w:t>
            </w:r>
            <w:proofErr w:type="gramEnd"/>
            <w:r w:rsidRPr="00392ED6">
              <w:rPr>
                <w:rFonts w:eastAsia="Calibri"/>
                <w:lang w:val="tr-TR"/>
              </w:rPr>
              <w:t>-23.9)</w:t>
            </w:r>
          </w:p>
        </w:tc>
        <w:tc>
          <w:tcPr>
            <w:tcW w:w="3071" w:type="dxa"/>
            <w:shd w:val="clear" w:color="auto" w:fill="auto"/>
          </w:tcPr>
          <w:p w:rsidR="00392ED6" w:rsidRPr="00392ED6" w:rsidRDefault="00392ED6" w:rsidP="00392ED6">
            <w:pPr>
              <w:spacing w:after="200" w:line="360" w:lineRule="auto"/>
              <w:jc w:val="both"/>
              <w:rPr>
                <w:rFonts w:eastAsia="Calibri"/>
                <w:lang w:val="tr-TR"/>
              </w:rPr>
            </w:pPr>
          </w:p>
        </w:tc>
      </w:tr>
    </w:tbl>
    <w:p w:rsidR="00392ED6" w:rsidRPr="00392ED6" w:rsidRDefault="00392ED6" w:rsidP="00392ED6">
      <w:pPr>
        <w:spacing w:after="200" w:line="360" w:lineRule="auto"/>
        <w:jc w:val="both"/>
        <w:rPr>
          <w:rFonts w:eastAsia="Calibri"/>
          <w:lang w:val="tr-TR"/>
        </w:rPr>
      </w:pPr>
      <w:r>
        <w:rPr>
          <w:rFonts w:ascii="$F$" w:eastAsia="Calibri" w:hAnsi="$F$" w:cs="$F$"/>
          <w:noProof/>
          <w:sz w:val="14"/>
          <w:szCs w:val="14"/>
          <w:lang w:val="tr-TR" w:eastAsia="tr-TR"/>
        </w:rPr>
        <w:drawing>
          <wp:inline distT="0" distB="0" distL="0" distR="0">
            <wp:extent cx="5037455" cy="4851400"/>
            <wp:effectExtent l="0" t="0" r="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37455" cy="4851400"/>
                    </a:xfrm>
                    <a:prstGeom prst="rect">
                      <a:avLst/>
                    </a:prstGeom>
                    <a:noFill/>
                    <a:ln>
                      <a:noFill/>
                    </a:ln>
                  </pic:spPr>
                </pic:pic>
              </a:graphicData>
            </a:graphic>
          </wp:inline>
        </w:drawing>
      </w:r>
    </w:p>
    <w:p w:rsidR="00392ED6" w:rsidRPr="00392ED6" w:rsidRDefault="00392ED6" w:rsidP="00392ED6">
      <w:pPr>
        <w:spacing w:after="200" w:line="360" w:lineRule="auto"/>
        <w:ind w:firstLine="708"/>
        <w:jc w:val="both"/>
        <w:rPr>
          <w:rFonts w:eastAsia="Calibri"/>
          <w:b/>
          <w:bCs/>
          <w:lang w:val="tr-TR"/>
        </w:rPr>
      </w:pPr>
      <w:r w:rsidRPr="00392ED6">
        <w:rPr>
          <w:rFonts w:eastAsia="Calibri"/>
          <w:b/>
          <w:bCs/>
          <w:lang w:val="tr-TR"/>
        </w:rPr>
        <w:t>Şekil.12 Proteinüri gelişimi progresyonsuz sağ kalım eğrisi (p=0,56)</w:t>
      </w:r>
    </w:p>
    <w:p w:rsidR="00392ED6" w:rsidRPr="00392ED6" w:rsidRDefault="00392ED6" w:rsidP="00392ED6">
      <w:pPr>
        <w:spacing w:after="200" w:line="360" w:lineRule="auto"/>
        <w:ind w:firstLine="708"/>
        <w:jc w:val="both"/>
        <w:rPr>
          <w:rFonts w:eastAsia="Calibri"/>
          <w:lang w:val="tr-TR"/>
        </w:rPr>
      </w:pPr>
      <w:r w:rsidRPr="00392ED6">
        <w:rPr>
          <w:rFonts w:eastAsia="Calibri"/>
          <w:lang w:val="tr-TR"/>
        </w:rPr>
        <w:lastRenderedPageBreak/>
        <w:t xml:space="preserve">VEGF, NO ve ANG II düzeylerinde değişim ile progresyonsuz sağ kalım arasındaki ilişkide incelendi. Buna göre her üçüylede progresyonsuz sağ kalım arasında istatiksel olarak anlamlı bir ilişki saptanmadı. </w:t>
      </w:r>
    </w:p>
    <w:p w:rsidR="00392ED6" w:rsidRPr="00392ED6" w:rsidRDefault="00392ED6" w:rsidP="00392ED6">
      <w:pPr>
        <w:tabs>
          <w:tab w:val="center" w:pos="6177"/>
        </w:tabs>
        <w:autoSpaceDE w:val="0"/>
        <w:autoSpaceDN w:val="0"/>
        <w:adjustRightInd w:val="0"/>
        <w:spacing w:line="360" w:lineRule="auto"/>
        <w:rPr>
          <w:rFonts w:eastAsia="Calibri"/>
          <w:b/>
          <w:bCs/>
          <w:lang w:val="tr-TR"/>
        </w:rPr>
      </w:pPr>
      <w:r w:rsidRPr="00392ED6">
        <w:rPr>
          <w:rFonts w:eastAsia="Calibri"/>
          <w:b/>
          <w:bCs/>
          <w:lang w:val="tr-TR"/>
        </w:rPr>
        <w:t>Tablo.</w:t>
      </w:r>
      <w:proofErr w:type="gramStart"/>
      <w:r w:rsidRPr="00392ED6">
        <w:rPr>
          <w:rFonts w:eastAsia="Calibri"/>
          <w:b/>
          <w:bCs/>
          <w:lang w:val="tr-TR"/>
        </w:rPr>
        <w:t>10  VEGF</w:t>
      </w:r>
      <w:proofErr w:type="gramEnd"/>
      <w:r w:rsidRPr="00392ED6">
        <w:rPr>
          <w:rFonts w:eastAsia="Calibri"/>
          <w:b/>
          <w:bCs/>
          <w:lang w:val="tr-TR"/>
        </w:rPr>
        <w:t>, NO, ANG II değişim durumuna göre progresyonsuz sağ kalım süreleri</w:t>
      </w:r>
    </w:p>
    <w:p w:rsidR="00392ED6" w:rsidRPr="00392ED6" w:rsidRDefault="00392ED6" w:rsidP="00392ED6">
      <w:pPr>
        <w:tabs>
          <w:tab w:val="center" w:pos="6177"/>
        </w:tabs>
        <w:autoSpaceDE w:val="0"/>
        <w:autoSpaceDN w:val="0"/>
        <w:adjustRightInd w:val="0"/>
        <w:spacing w:line="360" w:lineRule="auto"/>
        <w:rPr>
          <w:rFonts w:eastAsia="Calibri"/>
          <w:bCs/>
          <w:color w:val="000000"/>
          <w:lang w:val="tr-TR" w:eastAsia="tr-T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44"/>
        <w:gridCol w:w="2867"/>
        <w:gridCol w:w="2142"/>
      </w:tblGrid>
      <w:tr w:rsidR="00392ED6" w:rsidRPr="00392ED6" w:rsidTr="00392ED6">
        <w:tc>
          <w:tcPr>
            <w:tcW w:w="2344" w:type="dxa"/>
            <w:shd w:val="clear" w:color="auto" w:fill="auto"/>
          </w:tcPr>
          <w:p w:rsidR="00392ED6" w:rsidRPr="00392ED6" w:rsidRDefault="00392ED6" w:rsidP="00392ED6">
            <w:pPr>
              <w:spacing w:after="200" w:line="360" w:lineRule="auto"/>
              <w:jc w:val="both"/>
              <w:rPr>
                <w:rFonts w:eastAsia="Calibri"/>
                <w:lang w:val="tr-TR"/>
              </w:rPr>
            </w:pPr>
          </w:p>
        </w:tc>
        <w:tc>
          <w:tcPr>
            <w:tcW w:w="2867"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Ortanca(%95 GA min-maks)</w:t>
            </w:r>
          </w:p>
        </w:tc>
        <w:tc>
          <w:tcPr>
            <w:tcW w:w="2142"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P değeri</w:t>
            </w:r>
          </w:p>
        </w:tc>
      </w:tr>
      <w:tr w:rsidR="00392ED6" w:rsidRPr="00392ED6" w:rsidTr="00392ED6">
        <w:tc>
          <w:tcPr>
            <w:tcW w:w="2344"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Delta VEGF</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                Arttı</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                Azaldı</w:t>
            </w:r>
          </w:p>
        </w:tc>
        <w:tc>
          <w:tcPr>
            <w:tcW w:w="2867" w:type="dxa"/>
            <w:shd w:val="clear" w:color="auto" w:fill="auto"/>
          </w:tcPr>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17.4 (%95 GA </w:t>
            </w:r>
            <w:proofErr w:type="gramStart"/>
            <w:r w:rsidRPr="00392ED6">
              <w:rPr>
                <w:rFonts w:eastAsia="Calibri"/>
                <w:lang w:val="tr-TR"/>
              </w:rPr>
              <w:t>6.8</w:t>
            </w:r>
            <w:proofErr w:type="gramEnd"/>
            <w:r w:rsidRPr="00392ED6">
              <w:rPr>
                <w:rFonts w:eastAsia="Calibri"/>
                <w:lang w:val="tr-TR"/>
              </w:rPr>
              <w:t>-28.1)</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18.9 (%95 GA </w:t>
            </w:r>
            <w:proofErr w:type="gramStart"/>
            <w:r w:rsidRPr="00392ED6">
              <w:rPr>
                <w:rFonts w:eastAsia="Calibri"/>
                <w:lang w:val="tr-TR"/>
              </w:rPr>
              <w:t>13.3</w:t>
            </w:r>
            <w:proofErr w:type="gramEnd"/>
            <w:r w:rsidRPr="00392ED6">
              <w:rPr>
                <w:rFonts w:eastAsia="Calibri"/>
                <w:lang w:val="tr-TR"/>
              </w:rPr>
              <w:t>-24.6)</w:t>
            </w:r>
          </w:p>
        </w:tc>
        <w:tc>
          <w:tcPr>
            <w:tcW w:w="2142" w:type="dxa"/>
            <w:shd w:val="clear" w:color="auto" w:fill="auto"/>
          </w:tcPr>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jc w:val="both"/>
              <w:rPr>
                <w:rFonts w:eastAsia="Calibri"/>
                <w:lang w:val="tr-TR"/>
              </w:rPr>
            </w:pPr>
            <w:r w:rsidRPr="00392ED6">
              <w:rPr>
                <w:rFonts w:eastAsia="Calibri"/>
                <w:lang w:val="tr-TR"/>
              </w:rPr>
              <w:t>P=0,77</w:t>
            </w:r>
          </w:p>
        </w:tc>
      </w:tr>
      <w:tr w:rsidR="00392ED6" w:rsidRPr="00392ED6" w:rsidTr="00392ED6">
        <w:tc>
          <w:tcPr>
            <w:tcW w:w="2344"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Delta NO</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                 Değişmedi</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                 Arttı</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                Azaldı</w:t>
            </w:r>
          </w:p>
        </w:tc>
        <w:tc>
          <w:tcPr>
            <w:tcW w:w="2867" w:type="dxa"/>
            <w:shd w:val="clear" w:color="auto" w:fill="auto"/>
          </w:tcPr>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22.8 (%95 GA </w:t>
            </w:r>
            <w:proofErr w:type="gramStart"/>
            <w:r w:rsidRPr="00392ED6">
              <w:rPr>
                <w:rFonts w:eastAsia="Calibri"/>
                <w:lang w:val="tr-TR"/>
              </w:rPr>
              <w:t>12.7</w:t>
            </w:r>
            <w:proofErr w:type="gramEnd"/>
            <w:r w:rsidRPr="00392ED6">
              <w:rPr>
                <w:rFonts w:eastAsia="Calibri"/>
                <w:lang w:val="tr-TR"/>
              </w:rPr>
              <w:t>-33.1)</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13.8 (%95 GA </w:t>
            </w:r>
            <w:proofErr w:type="gramStart"/>
            <w:r w:rsidRPr="00392ED6">
              <w:rPr>
                <w:rFonts w:eastAsia="Calibri"/>
                <w:lang w:val="tr-TR"/>
              </w:rPr>
              <w:t>9.3</w:t>
            </w:r>
            <w:proofErr w:type="gramEnd"/>
            <w:r w:rsidRPr="00392ED6">
              <w:rPr>
                <w:rFonts w:eastAsia="Calibri"/>
                <w:lang w:val="tr-TR"/>
              </w:rPr>
              <w:t>-18.3)</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19.3(%95 GA </w:t>
            </w:r>
            <w:proofErr w:type="gramStart"/>
            <w:r w:rsidRPr="00392ED6">
              <w:rPr>
                <w:rFonts w:eastAsia="Calibri"/>
                <w:lang w:val="tr-TR"/>
              </w:rPr>
              <w:t>9.5</w:t>
            </w:r>
            <w:proofErr w:type="gramEnd"/>
            <w:r w:rsidRPr="00392ED6">
              <w:rPr>
                <w:rFonts w:eastAsia="Calibri"/>
                <w:lang w:val="tr-TR"/>
              </w:rPr>
              <w:t>-28.9)</w:t>
            </w:r>
          </w:p>
        </w:tc>
        <w:tc>
          <w:tcPr>
            <w:tcW w:w="2142" w:type="dxa"/>
            <w:shd w:val="clear" w:color="auto" w:fill="auto"/>
          </w:tcPr>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jc w:val="both"/>
              <w:rPr>
                <w:rFonts w:eastAsia="Calibri"/>
                <w:lang w:val="tr-TR"/>
              </w:rPr>
            </w:pPr>
            <w:r w:rsidRPr="00392ED6">
              <w:rPr>
                <w:rFonts w:eastAsia="Calibri"/>
                <w:lang w:val="tr-TR"/>
              </w:rPr>
              <w:t>P=0,393</w:t>
            </w:r>
          </w:p>
        </w:tc>
      </w:tr>
      <w:tr w:rsidR="00392ED6" w:rsidRPr="00392ED6" w:rsidTr="00392ED6">
        <w:tc>
          <w:tcPr>
            <w:tcW w:w="2344" w:type="dxa"/>
            <w:shd w:val="clear" w:color="auto" w:fill="auto"/>
          </w:tcPr>
          <w:p w:rsidR="00392ED6" w:rsidRPr="00392ED6" w:rsidRDefault="00392ED6" w:rsidP="00392ED6">
            <w:pPr>
              <w:spacing w:after="200" w:line="360" w:lineRule="auto"/>
              <w:jc w:val="both"/>
              <w:rPr>
                <w:rFonts w:eastAsia="Calibri"/>
                <w:lang w:val="tr-TR"/>
              </w:rPr>
            </w:pPr>
            <w:r w:rsidRPr="00392ED6">
              <w:rPr>
                <w:rFonts w:eastAsia="Calibri"/>
                <w:lang w:val="tr-TR"/>
              </w:rPr>
              <w:t>Delta ANG II</w:t>
            </w:r>
          </w:p>
          <w:p w:rsidR="00392ED6" w:rsidRPr="00392ED6" w:rsidRDefault="00392ED6" w:rsidP="00392ED6">
            <w:pPr>
              <w:spacing w:after="200" w:line="360" w:lineRule="auto"/>
              <w:jc w:val="both"/>
              <w:rPr>
                <w:rFonts w:eastAsia="Calibri"/>
                <w:lang w:val="tr-TR"/>
              </w:rPr>
            </w:pPr>
            <w:r w:rsidRPr="00392ED6">
              <w:rPr>
                <w:rFonts w:eastAsia="Calibri"/>
                <w:lang w:val="tr-TR"/>
              </w:rPr>
              <w:t>Değişmedi</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                Arttı</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                Azaldı</w:t>
            </w:r>
          </w:p>
        </w:tc>
        <w:tc>
          <w:tcPr>
            <w:tcW w:w="2867" w:type="dxa"/>
            <w:shd w:val="clear" w:color="auto" w:fill="auto"/>
          </w:tcPr>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26.1 (%95 GA </w:t>
            </w:r>
            <w:proofErr w:type="gramStart"/>
            <w:r w:rsidRPr="00392ED6">
              <w:rPr>
                <w:rFonts w:eastAsia="Calibri"/>
                <w:lang w:val="tr-TR"/>
              </w:rPr>
              <w:t>17.4</w:t>
            </w:r>
            <w:proofErr w:type="gramEnd"/>
            <w:r w:rsidRPr="00392ED6">
              <w:rPr>
                <w:rFonts w:eastAsia="Calibri"/>
                <w:lang w:val="tr-TR"/>
              </w:rPr>
              <w:t>-34.8)</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13.9 (%95 GA </w:t>
            </w:r>
            <w:proofErr w:type="gramStart"/>
            <w:r w:rsidRPr="00392ED6">
              <w:rPr>
                <w:rFonts w:eastAsia="Calibri"/>
                <w:lang w:val="tr-TR"/>
              </w:rPr>
              <w:t>8.8</w:t>
            </w:r>
            <w:proofErr w:type="gramEnd"/>
            <w:r w:rsidRPr="00392ED6">
              <w:rPr>
                <w:rFonts w:eastAsia="Calibri"/>
                <w:lang w:val="tr-TR"/>
              </w:rPr>
              <w:t>-19.1)</w:t>
            </w:r>
          </w:p>
          <w:p w:rsidR="00392ED6" w:rsidRPr="00392ED6" w:rsidRDefault="00392ED6" w:rsidP="00392ED6">
            <w:pPr>
              <w:spacing w:after="200" w:line="360" w:lineRule="auto"/>
              <w:jc w:val="both"/>
              <w:rPr>
                <w:rFonts w:eastAsia="Calibri"/>
                <w:lang w:val="tr-TR"/>
              </w:rPr>
            </w:pPr>
            <w:r w:rsidRPr="00392ED6">
              <w:rPr>
                <w:rFonts w:eastAsia="Calibri"/>
                <w:lang w:val="tr-TR"/>
              </w:rPr>
              <w:t xml:space="preserve">16.1 (%95 GA </w:t>
            </w:r>
            <w:proofErr w:type="gramStart"/>
            <w:r w:rsidRPr="00392ED6">
              <w:rPr>
                <w:rFonts w:eastAsia="Calibri"/>
                <w:lang w:val="tr-TR"/>
              </w:rPr>
              <w:t>7.9</w:t>
            </w:r>
            <w:proofErr w:type="gramEnd"/>
            <w:r w:rsidRPr="00392ED6">
              <w:rPr>
                <w:rFonts w:eastAsia="Calibri"/>
                <w:lang w:val="tr-TR"/>
              </w:rPr>
              <w:t>-24.1)</w:t>
            </w:r>
          </w:p>
        </w:tc>
        <w:tc>
          <w:tcPr>
            <w:tcW w:w="2142" w:type="dxa"/>
            <w:shd w:val="clear" w:color="auto" w:fill="auto"/>
          </w:tcPr>
          <w:p w:rsidR="00392ED6" w:rsidRPr="00392ED6" w:rsidRDefault="00392ED6" w:rsidP="00392ED6">
            <w:pPr>
              <w:spacing w:after="200" w:line="360" w:lineRule="auto"/>
              <w:jc w:val="both"/>
              <w:rPr>
                <w:rFonts w:eastAsia="Calibri"/>
                <w:lang w:val="tr-TR"/>
              </w:rPr>
            </w:pPr>
          </w:p>
          <w:p w:rsidR="00392ED6" w:rsidRPr="00392ED6" w:rsidRDefault="00392ED6" w:rsidP="00392ED6">
            <w:pPr>
              <w:spacing w:after="200" w:line="360" w:lineRule="auto"/>
              <w:jc w:val="both"/>
              <w:rPr>
                <w:rFonts w:eastAsia="Calibri"/>
                <w:lang w:val="tr-TR"/>
              </w:rPr>
            </w:pPr>
            <w:r w:rsidRPr="00392ED6">
              <w:rPr>
                <w:rFonts w:eastAsia="Calibri"/>
                <w:lang w:val="tr-TR"/>
              </w:rPr>
              <w:t>P=0,48</w:t>
            </w:r>
          </w:p>
        </w:tc>
      </w:tr>
    </w:tbl>
    <w:p w:rsidR="00392ED6" w:rsidRPr="00392ED6" w:rsidRDefault="00392ED6" w:rsidP="00392ED6">
      <w:pPr>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r>
        <w:rPr>
          <w:rFonts w:ascii="$F$" w:eastAsia="Calibri" w:hAnsi="$F$" w:cs="$F$"/>
          <w:noProof/>
          <w:sz w:val="14"/>
          <w:szCs w:val="14"/>
          <w:lang w:val="tr-TR" w:eastAsia="tr-TR"/>
        </w:rPr>
        <w:lastRenderedPageBreak/>
        <w:drawing>
          <wp:inline distT="0" distB="0" distL="0" distR="0">
            <wp:extent cx="5757545" cy="4580255"/>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57545" cy="4580255"/>
                    </a:xfrm>
                    <a:prstGeom prst="rect">
                      <a:avLst/>
                    </a:prstGeom>
                    <a:noFill/>
                    <a:ln>
                      <a:noFill/>
                    </a:ln>
                  </pic:spPr>
                </pic:pic>
              </a:graphicData>
            </a:graphic>
          </wp:inline>
        </w:drawing>
      </w:r>
    </w:p>
    <w:p w:rsidR="00392ED6" w:rsidRPr="00392ED6" w:rsidRDefault="00392ED6" w:rsidP="00392ED6">
      <w:pPr>
        <w:spacing w:after="200" w:line="360" w:lineRule="auto"/>
        <w:ind w:firstLine="708"/>
        <w:jc w:val="both"/>
        <w:rPr>
          <w:rFonts w:eastAsia="Calibri"/>
          <w:b/>
          <w:bCs/>
          <w:lang w:val="tr-TR"/>
        </w:rPr>
      </w:pPr>
      <w:r w:rsidRPr="00392ED6">
        <w:rPr>
          <w:rFonts w:eastAsia="Calibri"/>
          <w:b/>
          <w:bCs/>
          <w:lang w:val="tr-TR"/>
        </w:rPr>
        <w:t>Şekil.13 VEGF değişimine göre progresyonsuz sağ kalım eğrisi (p=0,77)</w:t>
      </w: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keepNext/>
        <w:keepLines/>
        <w:spacing w:before="480" w:line="276" w:lineRule="auto"/>
        <w:jc w:val="both"/>
        <w:outlineLvl w:val="0"/>
        <w:rPr>
          <w:rFonts w:eastAsia="Calibri"/>
          <w:b/>
          <w:bCs/>
          <w:sz w:val="28"/>
          <w:szCs w:val="28"/>
          <w:lang w:val="tr-TR" w:eastAsia="x-none"/>
        </w:rPr>
      </w:pPr>
      <w:r>
        <w:rPr>
          <w:rFonts w:ascii="$F$" w:eastAsia="Calibri" w:hAnsi="$F$" w:cs="$F$"/>
          <w:b/>
          <w:bCs/>
          <w:noProof/>
          <w:color w:val="365F91"/>
          <w:sz w:val="14"/>
          <w:szCs w:val="14"/>
          <w:lang w:val="tr-TR" w:eastAsia="tr-TR"/>
        </w:rPr>
        <w:lastRenderedPageBreak/>
        <w:drawing>
          <wp:inline distT="0" distB="0" distL="0" distR="0">
            <wp:extent cx="5765800" cy="5537200"/>
            <wp:effectExtent l="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5800" cy="5537200"/>
                    </a:xfrm>
                    <a:prstGeom prst="rect">
                      <a:avLst/>
                    </a:prstGeom>
                    <a:noFill/>
                    <a:ln>
                      <a:noFill/>
                    </a:ln>
                  </pic:spPr>
                </pic:pic>
              </a:graphicData>
            </a:graphic>
          </wp:inline>
        </w:drawing>
      </w:r>
    </w:p>
    <w:p w:rsidR="00392ED6" w:rsidRPr="00392ED6" w:rsidRDefault="00392ED6" w:rsidP="00392ED6">
      <w:pPr>
        <w:spacing w:after="200" w:line="360" w:lineRule="auto"/>
        <w:ind w:firstLine="708"/>
        <w:jc w:val="both"/>
        <w:rPr>
          <w:rFonts w:eastAsia="Calibri"/>
          <w:b/>
          <w:bCs/>
          <w:lang w:val="tr-TR"/>
        </w:rPr>
      </w:pPr>
      <w:r w:rsidRPr="00392ED6">
        <w:rPr>
          <w:rFonts w:eastAsia="Calibri"/>
          <w:b/>
          <w:bCs/>
          <w:lang w:val="tr-TR"/>
        </w:rPr>
        <w:t>Şekil.14 NO değişimine göre progresyonsuz sağ kalım eğrisi (p=0,39)</w:t>
      </w:r>
    </w:p>
    <w:p w:rsidR="00392ED6" w:rsidRPr="00392ED6" w:rsidRDefault="00392ED6" w:rsidP="00392ED6">
      <w:pPr>
        <w:spacing w:after="200" w:line="276" w:lineRule="auto"/>
        <w:rPr>
          <w:rFonts w:ascii="Calibri" w:eastAsia="Calibri" w:hAnsi="Calibri" w:cs="Calibri"/>
          <w:sz w:val="22"/>
          <w:szCs w:val="22"/>
          <w:lang w:val="tr-TR"/>
        </w:rPr>
      </w:pPr>
    </w:p>
    <w:p w:rsidR="00392ED6" w:rsidRPr="00392ED6" w:rsidRDefault="00392ED6" w:rsidP="00392ED6">
      <w:pPr>
        <w:keepNext/>
        <w:keepLines/>
        <w:spacing w:before="480" w:line="276" w:lineRule="auto"/>
        <w:jc w:val="both"/>
        <w:outlineLvl w:val="0"/>
        <w:rPr>
          <w:rFonts w:eastAsia="Calibri"/>
          <w:b/>
          <w:bCs/>
          <w:sz w:val="28"/>
          <w:szCs w:val="28"/>
          <w:lang w:val="tr-TR" w:eastAsia="x-none"/>
        </w:rPr>
      </w:pPr>
      <w:r>
        <w:rPr>
          <w:rFonts w:ascii="$F$" w:eastAsia="Calibri" w:hAnsi="$F$" w:cs="$F$"/>
          <w:b/>
          <w:bCs/>
          <w:noProof/>
          <w:color w:val="365F91"/>
          <w:sz w:val="14"/>
          <w:szCs w:val="14"/>
          <w:lang w:val="tr-TR" w:eastAsia="tr-TR"/>
        </w:rPr>
        <w:lastRenderedPageBreak/>
        <w:drawing>
          <wp:inline distT="0" distB="0" distL="0" distR="0">
            <wp:extent cx="5765800" cy="5545455"/>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5800" cy="5545455"/>
                    </a:xfrm>
                    <a:prstGeom prst="rect">
                      <a:avLst/>
                    </a:prstGeom>
                    <a:noFill/>
                    <a:ln>
                      <a:noFill/>
                    </a:ln>
                  </pic:spPr>
                </pic:pic>
              </a:graphicData>
            </a:graphic>
          </wp:inline>
        </w:drawing>
      </w:r>
    </w:p>
    <w:p w:rsidR="00392ED6" w:rsidRPr="00392ED6" w:rsidRDefault="00392ED6" w:rsidP="00392ED6">
      <w:pPr>
        <w:spacing w:after="200" w:line="360" w:lineRule="auto"/>
        <w:ind w:firstLine="708"/>
        <w:jc w:val="both"/>
        <w:rPr>
          <w:rFonts w:eastAsia="Calibri"/>
          <w:b/>
          <w:bCs/>
          <w:lang w:val="tr-TR"/>
        </w:rPr>
      </w:pPr>
      <w:r w:rsidRPr="00392ED6">
        <w:rPr>
          <w:rFonts w:eastAsia="Calibri"/>
          <w:b/>
          <w:bCs/>
          <w:lang w:val="tr-TR"/>
        </w:rPr>
        <w:t>Şekil.15 ANG II değişimine göre progresyonsuz sağ kalım eğrisi (p=0,48)</w:t>
      </w:r>
    </w:p>
    <w:p w:rsidR="00392ED6" w:rsidRPr="00392ED6" w:rsidRDefault="00392ED6" w:rsidP="00392ED6">
      <w:pPr>
        <w:keepNext/>
        <w:keepLines/>
        <w:spacing w:before="480" w:line="276" w:lineRule="auto"/>
        <w:jc w:val="both"/>
        <w:outlineLvl w:val="0"/>
        <w:rPr>
          <w:rFonts w:eastAsia="Calibri"/>
          <w:b/>
          <w:bCs/>
          <w:sz w:val="28"/>
          <w:szCs w:val="28"/>
          <w:lang w:val="tr-TR" w:eastAsia="x-none"/>
        </w:rPr>
      </w:pPr>
    </w:p>
    <w:p w:rsidR="00392ED6" w:rsidRPr="00392ED6" w:rsidRDefault="00392ED6" w:rsidP="00392ED6">
      <w:pPr>
        <w:spacing w:after="200" w:line="276" w:lineRule="auto"/>
        <w:rPr>
          <w:rFonts w:ascii="Calibri" w:eastAsia="Calibri" w:hAnsi="Calibri" w:cs="Calibri"/>
          <w:sz w:val="22"/>
          <w:szCs w:val="22"/>
          <w:lang w:val="tr-TR"/>
        </w:rPr>
      </w:pPr>
    </w:p>
    <w:p w:rsidR="00392ED6" w:rsidRPr="00392ED6" w:rsidRDefault="00392ED6" w:rsidP="00392ED6">
      <w:pPr>
        <w:spacing w:after="200" w:line="276" w:lineRule="auto"/>
        <w:rPr>
          <w:rFonts w:ascii="Calibri" w:eastAsia="Calibri" w:hAnsi="Calibri" w:cs="Calibri"/>
          <w:sz w:val="22"/>
          <w:szCs w:val="22"/>
          <w:lang w:val="tr-TR"/>
        </w:rPr>
      </w:pPr>
    </w:p>
    <w:p w:rsidR="00392ED6" w:rsidRPr="00392ED6" w:rsidRDefault="00392ED6" w:rsidP="00392ED6">
      <w:pPr>
        <w:keepNext/>
        <w:keepLines/>
        <w:spacing w:before="480" w:line="276" w:lineRule="auto"/>
        <w:jc w:val="both"/>
        <w:outlineLvl w:val="0"/>
        <w:rPr>
          <w:rFonts w:eastAsia="Calibri"/>
          <w:b/>
          <w:bCs/>
          <w:sz w:val="28"/>
          <w:szCs w:val="28"/>
          <w:lang w:val="tr-TR" w:eastAsia="x-none"/>
        </w:rPr>
      </w:pPr>
    </w:p>
    <w:p w:rsidR="00392ED6" w:rsidRPr="00392ED6" w:rsidRDefault="00392ED6" w:rsidP="00392ED6">
      <w:pPr>
        <w:spacing w:after="200" w:line="276" w:lineRule="auto"/>
        <w:rPr>
          <w:rFonts w:ascii="Calibri" w:eastAsia="Calibri" w:hAnsi="Calibri" w:cs="Calibri"/>
          <w:sz w:val="22"/>
          <w:szCs w:val="22"/>
          <w:lang w:val="tr-TR"/>
        </w:rPr>
      </w:pPr>
    </w:p>
    <w:p w:rsidR="00392ED6" w:rsidRPr="00392ED6" w:rsidRDefault="00392ED6" w:rsidP="00392ED6">
      <w:pPr>
        <w:keepNext/>
        <w:keepLines/>
        <w:spacing w:before="480" w:line="276" w:lineRule="auto"/>
        <w:jc w:val="both"/>
        <w:outlineLvl w:val="0"/>
        <w:rPr>
          <w:rFonts w:eastAsia="Calibri"/>
          <w:b/>
          <w:bCs/>
          <w:sz w:val="28"/>
          <w:szCs w:val="28"/>
          <w:lang w:val="tr-TR" w:eastAsia="x-none"/>
        </w:rPr>
      </w:pPr>
    </w:p>
    <w:p w:rsidR="00392ED6" w:rsidRPr="00392ED6" w:rsidRDefault="00392ED6" w:rsidP="00392ED6">
      <w:pPr>
        <w:spacing w:after="200" w:line="276" w:lineRule="auto"/>
        <w:rPr>
          <w:rFonts w:ascii="Calibri" w:eastAsia="Calibri" w:hAnsi="Calibri" w:cs="Calibri"/>
          <w:sz w:val="22"/>
          <w:szCs w:val="22"/>
          <w:lang w:val="tr-TR"/>
        </w:rPr>
      </w:pPr>
    </w:p>
    <w:p w:rsidR="00392ED6" w:rsidRPr="00392ED6" w:rsidRDefault="00392ED6" w:rsidP="00392ED6">
      <w:pPr>
        <w:keepNext/>
        <w:keepLines/>
        <w:spacing w:before="480" w:line="276" w:lineRule="auto"/>
        <w:jc w:val="both"/>
        <w:outlineLvl w:val="0"/>
        <w:rPr>
          <w:rFonts w:eastAsia="Calibri"/>
          <w:b/>
          <w:bCs/>
          <w:sz w:val="28"/>
          <w:szCs w:val="28"/>
          <w:lang w:val="tr-TR" w:eastAsia="x-none"/>
        </w:rPr>
      </w:pPr>
      <w:r w:rsidRPr="00392ED6">
        <w:rPr>
          <w:rFonts w:eastAsia="Calibri"/>
          <w:b/>
          <w:bCs/>
          <w:sz w:val="28"/>
          <w:szCs w:val="28"/>
          <w:lang w:val="tr-TR" w:eastAsia="x-none"/>
        </w:rPr>
        <w:lastRenderedPageBreak/>
        <w:t>5. TARTIŞMA</w:t>
      </w:r>
    </w:p>
    <w:p w:rsidR="00392ED6" w:rsidRPr="00392ED6" w:rsidRDefault="00392ED6" w:rsidP="00392ED6">
      <w:pPr>
        <w:spacing w:after="200" w:line="276" w:lineRule="auto"/>
        <w:jc w:val="both"/>
        <w:rPr>
          <w:rFonts w:eastAsia="Calibri"/>
          <w:b/>
          <w:bCs/>
          <w:lang w:val="tr-TR"/>
        </w:rPr>
      </w:pP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Globacan 2008 verilerine göre kolorektal kanserler Türkiye’de 5. sıklıkta görülen ve 3. en sık ölüme yol açan tümörlerdir (88).  Son 20 yıldaki gelişmeler </w:t>
      </w:r>
      <w:proofErr w:type="gramStart"/>
      <w:r w:rsidRPr="00392ED6">
        <w:rPr>
          <w:rFonts w:eastAsia="Calibri"/>
          <w:lang w:val="tr-TR"/>
        </w:rPr>
        <w:t>ile  5</w:t>
      </w:r>
      <w:proofErr w:type="gramEnd"/>
      <w:r w:rsidRPr="00392ED6">
        <w:rPr>
          <w:rFonts w:eastAsia="Calibri"/>
          <w:lang w:val="tr-TR"/>
        </w:rPr>
        <w:t xml:space="preserve"> FU tedavisine eklenen yeni nesil kemoterapotikler (oxaliplatin ve irinotekan) ile ortanca sağ kalım 10 aydan  14 ile 16 aya hedefe yönelik tedavilerin eklenmesi ile de (bevacizumab, cetuximab, panitumumab) 24 ile 30 aylara çıkmıştır. Hedefe yönelik tedavilerden birisi olan Bevacizumab VEGF’ye karşı geliştirilmiş olan IgG1 yapısında monoklonal bir antikor olup VEGF sinyal yolağını hedefleyen aynı zamanda antianjiyojenik </w:t>
      </w:r>
      <w:proofErr w:type="gramStart"/>
      <w:r w:rsidRPr="00392ED6">
        <w:rPr>
          <w:rFonts w:eastAsia="Calibri"/>
          <w:lang w:val="tr-TR"/>
        </w:rPr>
        <w:t>ilaçlar  olarak</w:t>
      </w:r>
      <w:proofErr w:type="gramEnd"/>
      <w:r w:rsidRPr="00392ED6">
        <w:rPr>
          <w:rFonts w:eastAsia="Calibri"/>
          <w:lang w:val="tr-TR"/>
        </w:rPr>
        <w:t xml:space="preserve"> da adlandırılan grubun en önemli temsilcisidir. İlk defa 1971 yılında Dr. Judah Folkman’ın ortaya attığı ‘Tümör büyümesi ve metastazı anjiyogenez bağımlı bir süreçtir’  hipotezini esas alan bir tedavi yöntemidir (89). Bu hipotez üzerinde geliştirilen araştırmalar Vasküler Endotelyal Büyüme Faktörü’nün bu alanda major bir hedef haline gelmesine neden olmuş ve araştırmacılar 2 mm3’den daha büyük tümörlerde büyüme ve metastazın anjiogenez bağımlı olduğunu ve VEGF’nin bu süreçte önemli rol oynadığını göstermişlerdir (90,91). Özellikle gastrointestinal kanal tümörleri, meme, akciğer, beyin ve over kanserlerinde yapılan araştırmalar VEGF’nin bu tümörlerde artarak endotelyal hücre fonksiyonu, çoğalması ve göçü üzerinde güçlü </w:t>
      </w:r>
      <w:proofErr w:type="gramStart"/>
      <w:r w:rsidRPr="00392ED6">
        <w:rPr>
          <w:rFonts w:eastAsia="Calibri"/>
          <w:lang w:val="tr-TR"/>
        </w:rPr>
        <w:t>bir  faktör</w:t>
      </w:r>
      <w:proofErr w:type="gramEnd"/>
      <w:r w:rsidRPr="00392ED6">
        <w:rPr>
          <w:rFonts w:eastAsia="Calibri"/>
          <w:lang w:val="tr-TR"/>
        </w:rPr>
        <w:t xml:space="preserve"> olduğunu göstermiştir (92).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Kanser tedavisinde kullanılan ajanların birçoğunun sonuçta kanser hücresinin ölümüyle sonuçlanan olaylara yol açması bu tedavilerin uygulanan bireylerde tedavi etkileri dışında toksisiteye de yol açmasına neden olmaktadır. Kişiye yönelik tedavilerin ve prognostik ve prediktif belirteçler güncel tıpta giderek önem kazanmakta ve uygulanmaktadır. Bu bağlamda uygulanacak bir tedavinin hangi hasta grubuna verileceği ve tedavi esnasında hangi yanıtla değerlendirileceğinin bilinmesi hastaların </w:t>
      </w:r>
      <w:proofErr w:type="gramStart"/>
      <w:r w:rsidRPr="00392ED6">
        <w:rPr>
          <w:rFonts w:eastAsia="Calibri"/>
          <w:lang w:val="tr-TR"/>
        </w:rPr>
        <w:t>optimal</w:t>
      </w:r>
      <w:proofErr w:type="gramEnd"/>
      <w:r w:rsidRPr="00392ED6">
        <w:rPr>
          <w:rFonts w:eastAsia="Calibri"/>
          <w:lang w:val="tr-TR"/>
        </w:rPr>
        <w:t xml:space="preserve"> süre ve dozda tedavi edilmesine yol açmakta ve gereksiz toksisiteye maruz kalmalarını önlemektedir.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Birçok tümör tipinde olduğu gibi kolorektal kanserde de yanıtın değerlendirilmesinde </w:t>
      </w:r>
      <w:proofErr w:type="gramStart"/>
      <w:r w:rsidRPr="00392ED6">
        <w:rPr>
          <w:rFonts w:eastAsia="Calibri"/>
          <w:lang w:val="tr-TR"/>
        </w:rPr>
        <w:t>RECIST  kriterleri</w:t>
      </w:r>
      <w:proofErr w:type="gramEnd"/>
      <w:r w:rsidRPr="00392ED6">
        <w:rPr>
          <w:rFonts w:eastAsia="Calibri"/>
          <w:lang w:val="tr-TR"/>
        </w:rPr>
        <w:t xml:space="preserve"> ve tümör belirteçleri kullanılmakta ve bu modaliteler bevacizumab başta olmak üzere bir çok tedavi seçeneğinden hangi hasta grubunun fayda gördüğünü belirleme ve yanıtın değerlendirilmesinde yetersiz kalmaktadır (93,94,95).</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Çalışmamızda </w:t>
      </w:r>
      <w:proofErr w:type="gramStart"/>
      <w:r w:rsidRPr="00392ED6">
        <w:rPr>
          <w:rFonts w:eastAsia="Calibri"/>
          <w:lang w:val="tr-TR"/>
        </w:rPr>
        <w:t>tam  takibi</w:t>
      </w:r>
      <w:proofErr w:type="gramEnd"/>
      <w:r w:rsidRPr="00392ED6">
        <w:rPr>
          <w:rFonts w:eastAsia="Calibri"/>
          <w:lang w:val="tr-TR"/>
        </w:rPr>
        <w:t xml:space="preserve"> yapılan 24 hastada bazal ve 6 doz tedavi sonrası VEGF, NO ve ANG II düzeyleriyle birlikte tümör belirteçleri, proteinüri durumları, radyolojik incelemeleri ve kan basıncı takipleri yapıldı ve hastalarda bu değerlerdeki değişimlerle tedavi </w:t>
      </w:r>
      <w:r w:rsidRPr="00392ED6">
        <w:rPr>
          <w:rFonts w:eastAsia="Calibri"/>
          <w:lang w:val="tr-TR"/>
        </w:rPr>
        <w:lastRenderedPageBreak/>
        <w:t xml:space="preserve">yanıtı arasındaki ilişki incelendi. Buna göre VEGF, NO ve ANG II düzeylerinin bazal ve 6 doz tedavi sonrası değerleri incelendiğinde NO ve ANG II düzeylerinde değişim yönünden istatiksel olarak anlamlı bir farklılık bulunamazken VEGF düzeylerinde istatistiksel olarak anlamlı bir düşüş saptandı.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Altı doz tedavi sonrası, VEGF düzeyleri tümörü tedaviye yanıt veren hastalarda vermeyenlere göre istatiksel olarak anlamlı olarak daha az düşmüştü.  VEGF inhibitörü kullanımıyla serum VEGF düzeyleri arasındaki ilişki </w:t>
      </w:r>
      <w:proofErr w:type="gramStart"/>
      <w:r w:rsidRPr="00392ED6">
        <w:rPr>
          <w:rFonts w:eastAsia="Calibri"/>
          <w:lang w:val="tr-TR"/>
        </w:rPr>
        <w:t>bir çok</w:t>
      </w:r>
      <w:proofErr w:type="gramEnd"/>
      <w:r w:rsidRPr="00392ED6">
        <w:rPr>
          <w:rFonts w:eastAsia="Calibri"/>
          <w:lang w:val="tr-TR"/>
        </w:rPr>
        <w:t xml:space="preserve"> çalışmada incelenmiş bunlardan bir kısmında tedavi öncesi serum VEGF düzeyleriyle yanıt arasındaki ilişkiye bir kısmında da ilaca bağlı VEGF düzeylerindeki artış veya azalış arasındaki ilişkiye bakılmıştır.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Genel olarak anti VEGF etkinliği olan tirozin kinaz inhibitörleriyle yapılan çalışmalarda tedavi sonrası VEGF düzeyi yükselirken, bevacizumab ile yapılan çalışmalarda VEGF düzeyinde düşüş gözlenmiştir. Metastatik kolorektal kanserli hastalarda bevacizumab ile yapılan bir çalışmada primer tümördeki VEGF ekspresyonunun tedavi ilişkili sonlanımlar ile ilişkisi gösterilememiştir (96). Yine metastatik over ve pankreas kanserli hastalarda </w:t>
      </w:r>
      <w:proofErr w:type="gramStart"/>
      <w:r w:rsidRPr="00392ED6">
        <w:rPr>
          <w:rFonts w:eastAsia="Calibri"/>
          <w:lang w:val="tr-TR"/>
        </w:rPr>
        <w:t>yapılan  faz</w:t>
      </w:r>
      <w:proofErr w:type="gramEnd"/>
      <w:r w:rsidRPr="00392ED6">
        <w:rPr>
          <w:rFonts w:eastAsia="Calibri"/>
          <w:lang w:val="tr-TR"/>
        </w:rPr>
        <w:t xml:space="preserve"> 2 çalışmalarda bevacizumab kullanımıyla serum VEGF düzeylerinde artış saptanmış ancak bu değerlerin hastalıksız sağ kalım ve genel sağ kalımla olan ilişkisi istatiksel olarak anlamlı olarak bulunmamıştır (97,98). Ayrıca 4 ayrı faz 3 çalışmada (AVF2107g, E4599, AVAİL ve AVOREN) tedavi öncesi serum VEGF düzeyleriyle bevacizumab etkinliği arasında ilişki saptanmamıştır (101).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Yalnız ileri evre küçük hücre dışı akciğer kanserli hastalarda yapılan bir araştırmada tedavi öncesi yüksek serum VEGF </w:t>
      </w:r>
      <w:proofErr w:type="gramStart"/>
      <w:r w:rsidRPr="00392ED6">
        <w:rPr>
          <w:rFonts w:eastAsia="Calibri"/>
          <w:lang w:val="tr-TR"/>
        </w:rPr>
        <w:t>düzeylerinin   daha</w:t>
      </w:r>
      <w:proofErr w:type="gramEnd"/>
      <w:r w:rsidRPr="00392ED6">
        <w:rPr>
          <w:rFonts w:eastAsia="Calibri"/>
          <w:lang w:val="tr-TR"/>
        </w:rPr>
        <w:t xml:space="preserve"> iyi genel sağ kalımla ilişkili olduğu gösterilmiştir (99). Yine erken evre KHDAK olan vakalarda tedavi öncesi serum VEGF düzeyleri iyi genel sağ kalım süresiyle ilişkili olarak bulunmuştur (100). Bunun üzerine VEGF düzeylerindeki dinamik değişimin prediktif değerinin olabileceği bildirilmiş ve buna yönelik yapılan çalışmalardan birisinde multirezistan over kanseri olan 38 hastada bevacizumab monoterapisi uygulanmış VEGF düzeylerinin tedavi sonrası düşük ve yüksek olduğu gruplar arasında hastalıksız sağ kalım ve genel sağ kalım yönünden istatiksel olarak anlamlı farklılık </w:t>
      </w:r>
      <w:proofErr w:type="gramStart"/>
      <w:r w:rsidRPr="00392ED6">
        <w:rPr>
          <w:rFonts w:eastAsia="Calibri"/>
          <w:lang w:val="tr-TR"/>
        </w:rPr>
        <w:t>saptanmış  ancak</w:t>
      </w:r>
      <w:proofErr w:type="gramEnd"/>
      <w:r w:rsidRPr="00392ED6">
        <w:rPr>
          <w:rFonts w:eastAsia="Calibri"/>
          <w:lang w:val="tr-TR"/>
        </w:rPr>
        <w:t xml:space="preserve"> çalışmaya alınan hastaların multirezistan hastalığı olması sadece bevacizumab almaları ve hasta sayısının az olması nedeniyle serum VEGF düzeylerindeki değişimin prediktif  bir değer olarak kullanılabilmesi için daha büyük randomize kontrollü çalışmalara ihtiyaç olduğu belirtilmiştir (102).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         Bunun dışında bevacizumabın tek başına başlandığı veya kemoterapiyle kombine edildiği çalışmalarda VEGF düzeylerinde artış saptanırken 5 FU ile kombine edildiği çalışmalarda VEGF konsantrasyonunda tedavi ile düşme gözlenmiş ancak bu çalışmaların hepsinde VEGF aktivitesindeki değişime rağmen bu durumun prognostik ve prediktif değeri bulunamamıştır (</w:t>
      </w:r>
      <w:proofErr w:type="gramStart"/>
      <w:r w:rsidRPr="00392ED6">
        <w:rPr>
          <w:rFonts w:eastAsia="Calibri"/>
          <w:lang w:val="tr-TR"/>
        </w:rPr>
        <w:t>103,104,105,106</w:t>
      </w:r>
      <w:proofErr w:type="gramEnd"/>
      <w:r w:rsidRPr="00392ED6">
        <w:rPr>
          <w:rFonts w:eastAsia="Calibri"/>
          <w:lang w:val="tr-TR"/>
        </w:rPr>
        <w:t xml:space="preserve">).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Anti VEGF etkinliği olan tirozin kinaz inhibitörlerinden birisi olan sorafenibin kullanıldığı çeşitli metastatik solid tümörü olan 20 hastada bazal ve 3 haftalık tedavi sonrası serum VEGF düzeyleri incelenmiş ve VEGF düzeylerinde istatiksel olarak anlamlı bir değişiklik saptanmamıştır (107). Bunun dışında metastatik RCC’li hastalarda sunitinib ve rekürren gliablastomlu hastalarda cediranib ile yapılan çalışmalarda VEGF düzeyleri ile sonlanım arasında herhangi bir ilişki saptanmamıştır (108-110).</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Bizde kendi çalışmamızda bazal VEGF düzeyleri ve 6 doz tedavi sonrası VEGF düzeylerindeki değişim farkıyla yanıt arasında bir ilişki saptamazken, 6 doz tedavi sonrası serum VEGF düzeyleriyle tümörün tedaviye yanıtı açısından istatiksel olarak anlamlı bir ilişki bulduk. Tedaviyle VEGF düzeylerindeki düşüş literatür ile uyumluydu çünkü daha öncede belirttiğimiz gibi bevacizumabın 5 FU ile kombine kullanıldığı çalışmalarda 5 FU ile VEGF arasındaki kimyasal ilişkiye </w:t>
      </w:r>
      <w:proofErr w:type="gramStart"/>
      <w:r w:rsidRPr="00392ED6">
        <w:rPr>
          <w:rFonts w:eastAsia="Calibri"/>
          <w:lang w:val="tr-TR"/>
        </w:rPr>
        <w:t>bağlı  tedavi</w:t>
      </w:r>
      <w:proofErr w:type="gramEnd"/>
      <w:r w:rsidRPr="00392ED6">
        <w:rPr>
          <w:rFonts w:eastAsia="Calibri"/>
          <w:lang w:val="tr-TR"/>
        </w:rPr>
        <w:t xml:space="preserve"> sonrası VEGF düzeyleri düşüyordu.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VEGF’nin bazal ve değişim düzeyleriyle ilişki yokken tedavi sonrası VEGF </w:t>
      </w:r>
      <w:proofErr w:type="gramStart"/>
      <w:r w:rsidRPr="00392ED6">
        <w:rPr>
          <w:rFonts w:eastAsia="Calibri"/>
          <w:lang w:val="tr-TR"/>
        </w:rPr>
        <w:t>düzeylerinde  daha</w:t>
      </w:r>
      <w:proofErr w:type="gramEnd"/>
      <w:r w:rsidRPr="00392ED6">
        <w:rPr>
          <w:rFonts w:eastAsia="Calibri"/>
          <w:lang w:val="tr-TR"/>
        </w:rPr>
        <w:t xml:space="preserve"> az düşüş olan hastalarda tedaviye yanıtın daha iyi olması VEGF düzeylerinin her ne olursa olsun vucut tarafından belli sınırlar içerinde tutulmaya çalışılması ve bu hastaların tümörlerinin yanıt vermeyen hastalara göre daha fazla VEGF salınımına yol açması sonucu anti VEGF tedavi sonrası yanıt vermeyen hastalarda VEGF düzeyleri tedaviden çok etkilenip daha fazla düşerken yanıt veren hastalarda ise yoğun VEGF sekresyonundan dolayı düşüş daha az olmuş olabilir ve bu hipotez bu hastaların tümörlerinin anti VEGF tedaviye daha iyi yanıt vermeleriyle de ilişkili olabilir.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VEGF dışında bazal olarak ve 6 doz tedavi sonrası serum NO ve ANG II düzeylerini ve bu düzeylerdeki değişimi de inceledik, tümör cevabı ve sağ kalım yönünden farklılık saptamadık. Farelerde VEGF’nin intravenöz olarak infüzyonun endotelyal ve renal olarak NO ve prostosiklin düzeyini artırarak vazodilatasyona ve bu durumunda kan basıncında düşüşe yol açtığı gösterilmiştir (111,112). Bu durum VEGF inhibisyonunun NO düzeylerinde düşüşe yol açtığı ve bu durumun da hipertansiyonla ilişkili olduğu hipotezinin ortaya atılmasına yol açmıştır (113). Bevacizumabın invitro olarak NO seviyelerinde düşüşle ilişkili olduğu </w:t>
      </w:r>
      <w:r w:rsidRPr="00392ED6">
        <w:rPr>
          <w:rFonts w:eastAsia="Calibri"/>
          <w:lang w:val="tr-TR"/>
        </w:rPr>
        <w:lastRenderedPageBreak/>
        <w:t xml:space="preserve">gösterilmiştir (114). Güncel </w:t>
      </w:r>
      <w:proofErr w:type="gramStart"/>
      <w:r w:rsidRPr="00392ED6">
        <w:rPr>
          <w:rFonts w:eastAsia="Calibri"/>
          <w:lang w:val="tr-TR"/>
        </w:rPr>
        <w:t>literatürde</w:t>
      </w:r>
      <w:proofErr w:type="gramEnd"/>
      <w:r w:rsidRPr="00392ED6">
        <w:rPr>
          <w:rFonts w:eastAsia="Calibri"/>
          <w:lang w:val="tr-TR"/>
        </w:rPr>
        <w:t xml:space="preserve"> bevacizumab tedavisiyle NO ve ANG II düzeyleri ve tümörün tedaviye yanıtı arasındaki ilişkiyle ilgili çok çalışma yoktur.  Bu konuda yapılmış sınırlı çalışmalarda serum NO düzeylerinde Anti VEGF tedaviyle belirgin bir düşüş gözlenmediğinden bahsedilmiştir (115).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Bizim çalışmamızda bazal ve 6 doz tedavi sonrası NO düzeyleri arasında istatiksel olarak anlamlı bir farklılık saptamadık. Bazal ve 6 siklus tedavi sonrası düzeyleri ve bu 2 değer arasındaki </w:t>
      </w:r>
      <w:proofErr w:type="gramStart"/>
      <w:r w:rsidRPr="00392ED6">
        <w:rPr>
          <w:rFonts w:eastAsia="Calibri"/>
          <w:lang w:val="tr-TR"/>
        </w:rPr>
        <w:t>değişim  hipertansiyon</w:t>
      </w:r>
      <w:proofErr w:type="gramEnd"/>
      <w:r w:rsidRPr="00392ED6">
        <w:rPr>
          <w:rFonts w:eastAsia="Calibri"/>
          <w:lang w:val="tr-TR"/>
        </w:rPr>
        <w:t xml:space="preserve"> gelişimi, tümör cevabıyla veya hastalıksız sağ kalımla ilişki değildi. Böylece anti VEGF tedaviye yanıtı ve prognozu öngörmek ayrıca gelişebilecek olan bir kan basıncı yükselişiyle ilişkisini </w:t>
      </w:r>
      <w:proofErr w:type="gramStart"/>
      <w:r w:rsidRPr="00392ED6">
        <w:rPr>
          <w:rFonts w:eastAsia="Calibri"/>
          <w:lang w:val="tr-TR"/>
        </w:rPr>
        <w:t>araştırmak  için</w:t>
      </w:r>
      <w:proofErr w:type="gramEnd"/>
      <w:r w:rsidRPr="00392ED6">
        <w:rPr>
          <w:rFonts w:eastAsia="Calibri"/>
          <w:lang w:val="tr-TR"/>
        </w:rPr>
        <w:t xml:space="preserve"> çalıştığımız parametrelerden birisi olan NO ile sonlanım parametreleri arasında veya hipertansiyon gelişimi arasında herhangi bir ilişki saptamadık.</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ANG II yönünden değerlendirildiğinde güncel </w:t>
      </w:r>
      <w:proofErr w:type="gramStart"/>
      <w:r w:rsidRPr="00392ED6">
        <w:rPr>
          <w:rFonts w:eastAsia="Calibri"/>
          <w:lang w:val="tr-TR"/>
        </w:rPr>
        <w:t>literatürde</w:t>
      </w:r>
      <w:proofErr w:type="gramEnd"/>
      <w:r w:rsidRPr="00392ED6">
        <w:rPr>
          <w:rFonts w:eastAsia="Calibri"/>
          <w:lang w:val="tr-TR"/>
        </w:rPr>
        <w:t xml:space="preserve"> bu duruma yönelik VEGF inhibitörleriyle yapılan sınırlı çalışma mevcuttur. Bunlardan Facemire ve arkadaşları farelerde </w:t>
      </w:r>
      <w:proofErr w:type="gramStart"/>
      <w:r w:rsidRPr="00392ED6">
        <w:rPr>
          <w:rFonts w:eastAsia="Calibri"/>
          <w:lang w:val="tr-TR"/>
        </w:rPr>
        <w:t>VEGF  reseptör</w:t>
      </w:r>
      <w:proofErr w:type="gramEnd"/>
      <w:r w:rsidRPr="00392ED6">
        <w:rPr>
          <w:rFonts w:eastAsia="Calibri"/>
          <w:lang w:val="tr-TR"/>
        </w:rPr>
        <w:t xml:space="preserve"> inhibitörleriyle yaptıkları bir çalışmada kontrol gurubuna göre VEGF reseptör inhibitörleri alan grupta renin mRNA ve aldosteronun üriner atılımında azalma saptamışlardır (115). Yine Veronese ve arkadaşları sorafenib kullanan solid tümörlü hastalarda yaptıkları bir çalışmada 3 haftalık tedavi sonrası serum kreatinin,  aldosteron ve renin </w:t>
      </w:r>
      <w:proofErr w:type="gramStart"/>
      <w:r w:rsidRPr="00392ED6">
        <w:rPr>
          <w:rFonts w:eastAsia="Calibri"/>
          <w:lang w:val="tr-TR"/>
        </w:rPr>
        <w:t>konsantrasyonlarında</w:t>
      </w:r>
      <w:proofErr w:type="gramEnd"/>
      <w:r w:rsidRPr="00392ED6">
        <w:rPr>
          <w:rFonts w:eastAsia="Calibri"/>
          <w:lang w:val="tr-TR"/>
        </w:rPr>
        <w:t xml:space="preserve"> herhangi bir değişiklik saptanmadığını bildirmişlerdir (117). Epitelyal over kanserli hastalarda cediranible yapılan başkabir çalışmada ise kan basıncı yükselirken vucut ağırlığında düşüş saptanmış ve araştırmacılar bu durumu VEGF inhibitörüne bağlı RAS inhibisyonuna bağlı sıvı atılımında artışa bağlamışlardır (118).</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VEGF inhibisyonuna bağlı gelişen hipertansiyonun etyopatogenezinde preeklampsi benzeri bir tablo suçlanmaktadır. Preeklampside dolaşan renin ve aldosteron düzeyleri düşmektedir. VEGF inhibitörlerinin NO ve Prostosiklin gibi vazodilatör mediatörleri azaltarak ve kapiller seyrekleşmeye neden olarak hipertansiyona yol açtığı bilinmektedir. Dolayısıyla RAS dışı bir mekanizmayla gelişebilecek olan bir hipertansiyon negatif feedbackle RAS inhibisyonuna yol açacaktır. </w:t>
      </w:r>
      <w:r w:rsidRPr="00392ED6">
        <w:rPr>
          <w:rFonts w:eastAsia="Calibri"/>
          <w:bCs/>
          <w:lang w:val="tr-TR" w:eastAsia="tr-TR"/>
        </w:rPr>
        <w:t>(</w:t>
      </w:r>
      <w:r w:rsidRPr="00392ED6">
        <w:rPr>
          <w:rFonts w:eastAsia="Calibri"/>
          <w:b/>
          <w:bCs/>
          <w:lang w:val="tr-TR" w:eastAsia="tr-TR"/>
        </w:rPr>
        <w:t>Şekil.3</w:t>
      </w:r>
      <w:r w:rsidRPr="00392ED6">
        <w:rPr>
          <w:rFonts w:eastAsia="Calibri"/>
          <w:bCs/>
          <w:lang w:val="tr-TR" w:eastAsia="tr-TR"/>
        </w:rPr>
        <w:t>)</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Bizim çalışmamızda ise Bevacizumab kullanımı sonrası ANG II düzeylerinde bazal değerlere göre düşüş saptanmış ancak bu durum istatiksel olarak anlamlı olarak bulunmamıştır. Yalnız hipertansiyonu olan hastalarda ANG II’nin 6 doz tedavi sonrası düzeylerinde diğer hastalara göre istatiksel olarak anlamlı olmasa da yüksek olduğu saptanmıştır.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          Sonuç olarak metastatik kolorektal kanserli hastalarda Anti VEGF tedaviye yanıt için prognostik ve prediktif bir belirteç, yine Anti VEGF tedavi etyopatogenezinde rolünü araştırmak için baktığımız serum ANG II düzeyleriyle tümör sonlanımı arasında bir ilişki saptamazken, VEGF düzeyleriyle korele bir düşüş ancak 6 doz </w:t>
      </w:r>
      <w:proofErr w:type="gramStart"/>
      <w:r w:rsidRPr="00392ED6">
        <w:rPr>
          <w:rFonts w:eastAsia="Calibri"/>
          <w:lang w:val="tr-TR"/>
        </w:rPr>
        <w:t>tedavi  sonrası</w:t>
      </w:r>
      <w:proofErr w:type="gramEnd"/>
      <w:r w:rsidRPr="00392ED6">
        <w:rPr>
          <w:rFonts w:eastAsia="Calibri"/>
          <w:lang w:val="tr-TR"/>
        </w:rPr>
        <w:t xml:space="preserve"> tanı anında hipertansiyonu olan hastalarda olmayanlara göre daha yüksek düzeyler saptadık. Bu </w:t>
      </w:r>
      <w:proofErr w:type="gramStart"/>
      <w:r w:rsidRPr="00392ED6">
        <w:rPr>
          <w:rFonts w:eastAsia="Calibri"/>
          <w:lang w:val="tr-TR"/>
        </w:rPr>
        <w:t>durum  tanı</w:t>
      </w:r>
      <w:proofErr w:type="gramEnd"/>
      <w:r w:rsidRPr="00392ED6">
        <w:rPr>
          <w:rFonts w:eastAsia="Calibri"/>
          <w:lang w:val="tr-TR"/>
        </w:rPr>
        <w:t xml:space="preserve"> anında hipertansiyonu olan hastalarda hipertansiyonun RAS aktivasyonuna bağlı olmasıyla ilişkili olabilir.</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Hasta grubumuzda yoğun bir şekilde ev ve poliklinik ölçümü olacak şeklinde kan basıncı takibi yapıldı ve hastaların birisi hariç tümünde kan basıncı ölçümlerinde artış saptandı. Buna göre CTC kriterlerine göre 10 hastada evre 1, 10 hastada evre 2 ve 3 hastada ise evre 3 hipertansiyon vardı ancak literatürde JNC 7 kılavuzuna göre de kan basıncı takibi yapılması nedeniyle aynı hastaları KB durumlarına göre tekrar sınıfladık ve 5 hastanın prehipertansif, 15 </w:t>
      </w:r>
      <w:proofErr w:type="gramStart"/>
      <w:r w:rsidRPr="00392ED6">
        <w:rPr>
          <w:rFonts w:eastAsia="Calibri"/>
          <w:lang w:val="tr-TR"/>
        </w:rPr>
        <w:t>hastanın  evre</w:t>
      </w:r>
      <w:proofErr w:type="gramEnd"/>
      <w:r w:rsidRPr="00392ED6">
        <w:rPr>
          <w:rFonts w:eastAsia="Calibri"/>
          <w:lang w:val="tr-TR"/>
        </w:rPr>
        <w:t xml:space="preserve"> 1 HT ve 3 hastanın ise  evre 2 HT’nu olduğunu bulduk.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Literatürde bevacizumab tedavisi altında hipertansiyon gelişimi tüm evreler için %30-80, CTC evre 3 veya JNC 7 evre 2 HT için %10-15 civarında olduğu yönünde sonuçlar vardır (119,120). Bizim çalışmamızda neredeyse hemen hemen tüm hastalarda kan basıncı </w:t>
      </w:r>
      <w:proofErr w:type="gramStart"/>
      <w:r w:rsidRPr="00392ED6">
        <w:rPr>
          <w:rFonts w:eastAsia="Calibri"/>
          <w:lang w:val="tr-TR"/>
        </w:rPr>
        <w:t>artışı  ve</w:t>
      </w:r>
      <w:proofErr w:type="gramEnd"/>
      <w:r w:rsidRPr="00392ED6">
        <w:rPr>
          <w:rFonts w:eastAsia="Calibri"/>
          <w:lang w:val="tr-TR"/>
        </w:rPr>
        <w:t xml:space="preserve"> hipartansiyon saptadık. Bu durum </w:t>
      </w:r>
      <w:proofErr w:type="gramStart"/>
      <w:r w:rsidRPr="00392ED6">
        <w:rPr>
          <w:rFonts w:eastAsia="Calibri"/>
          <w:lang w:val="tr-TR"/>
        </w:rPr>
        <w:t>literatürde</w:t>
      </w:r>
      <w:proofErr w:type="gramEnd"/>
      <w:r w:rsidRPr="00392ED6">
        <w:rPr>
          <w:rFonts w:eastAsia="Calibri"/>
          <w:lang w:val="tr-TR"/>
        </w:rPr>
        <w:t xml:space="preserve"> kan basıncı takipleri tekli veya evde birkaç adet ev ölçümü yapılarak seyrek takip edilmesi bizim çalışmamızda ise hastaların evdeki ara dönemlerde hergün 2 defa kan basıncı ölçümü yapıp kaydetmeleriyle ilişkili olabilir.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w:t>
      </w:r>
      <w:proofErr w:type="gramStart"/>
      <w:r w:rsidRPr="00392ED6">
        <w:rPr>
          <w:rFonts w:eastAsia="Calibri"/>
          <w:lang w:val="tr-TR"/>
        </w:rPr>
        <w:t xml:space="preserve">Kan basıncı yüksekliğinde basınç yükü ve bunun kardiyovasküler sistemde oluşturduğu stresin giderek önem kazandığı günümüzde çoğunluğu orta yaşı geçmiş ve ek kardiyovasküler morbidite taşıyan hastalarda kan basıncı ve hemodinamiyi etkileyen ilaç kullanımında, uygun olmayan bir şekilde yetersiz kan basıncı takibi yapılması hem tedaviye uyumun ve devamlılığın azalmasına hemde ek kardiyovasküler mortalite riskine yol açabileceğini düşünmekteyiz.  </w:t>
      </w:r>
      <w:proofErr w:type="gramEnd"/>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Literatürde değişik tümörlerde Anti VEGF tedavisi alan hastalarda hipertansiyon gelişiminin,  tümör cevabı ve hastalıksız sağkalım ile olan ilişkisini inceleyen </w:t>
      </w:r>
      <w:proofErr w:type="gramStart"/>
      <w:r w:rsidRPr="00392ED6">
        <w:rPr>
          <w:rFonts w:eastAsia="Calibri"/>
          <w:lang w:val="tr-TR"/>
        </w:rPr>
        <w:t>bir çok</w:t>
      </w:r>
      <w:proofErr w:type="gramEnd"/>
      <w:r w:rsidRPr="00392ED6">
        <w:rPr>
          <w:rFonts w:eastAsia="Calibri"/>
          <w:lang w:val="tr-TR"/>
        </w:rPr>
        <w:t xml:space="preserve"> çalışma mevcuttur. ECOG 4599 çalışmasında 741 hasta paklitaksel + karboplatin veya ikisine ek olarak bevacizumab (15 mg/kg)  alacak şekilde randomize edilmiş </w:t>
      </w:r>
      <w:proofErr w:type="gramStart"/>
      <w:r w:rsidRPr="00392ED6">
        <w:rPr>
          <w:rFonts w:eastAsia="Calibri"/>
          <w:lang w:val="tr-TR"/>
        </w:rPr>
        <w:t>ve  bevacizumab</w:t>
      </w:r>
      <w:proofErr w:type="gramEnd"/>
      <w:r w:rsidRPr="00392ED6">
        <w:rPr>
          <w:rFonts w:eastAsia="Calibri"/>
          <w:lang w:val="tr-TR"/>
        </w:rPr>
        <w:t xml:space="preserve"> alan kolda hastalıksız sağkalım ve genel sağkalım almayan kola göre daha iyiyken bevacizumab alan kolda hipertansiyon gelişen grupta hastalıksız sağ kalım ve genel sağ kalım istatiksel olarak anlamlı olmasada diğer gruptan daha iyi olarak saptanmış ancak bu çalışmada da kan </w:t>
      </w:r>
      <w:r w:rsidRPr="00392ED6">
        <w:rPr>
          <w:rFonts w:eastAsia="Calibri"/>
          <w:lang w:val="tr-TR"/>
        </w:rPr>
        <w:lastRenderedPageBreak/>
        <w:t xml:space="preserve">basınçları poliklinik ölçümleri şeklinde yapılmıştır (121). Bono ve arkadaşları 43 metastatik renal cell ca’lı hastada Bevacizumab monoterapisini kullanmış ve hipertansiyon gelişen grupta gelişmeyen gruba göre hastalıksız sağkalım istatiksel olarak anlamlı olacak şekilde daha iyiyken genel sağkalım yönünden fark bulamamışlardır (122). Benzer sonuçlar bevacizumabın pankreatik kanserde kullanımındada gösterilmiştir (123). Brian ve arkadaşlarının metastatik renal cell ca’lı 5400 hastada </w:t>
      </w:r>
      <w:proofErr w:type="gramStart"/>
      <w:r w:rsidRPr="00392ED6">
        <w:rPr>
          <w:rFonts w:eastAsia="Calibri"/>
          <w:lang w:val="tr-TR"/>
        </w:rPr>
        <w:t>retrospektif</w:t>
      </w:r>
      <w:proofErr w:type="gramEnd"/>
      <w:r w:rsidRPr="00392ED6">
        <w:rPr>
          <w:rFonts w:eastAsia="Calibri"/>
          <w:lang w:val="tr-TR"/>
        </w:rPr>
        <w:t xml:space="preserve"> olarak sunitinib kullanımıyla hipertansiyon gelişimi ve bu durumun yanıtla ilişkisini inceledikleri çalışmada hipertansiyon olan grupta objektif yanıt oranı, hastalıksız sağkalım ve genel sağkalımın daha iyi olduğunu saptamışlar ancak bu çalışmadada kan basıncı ölçümleri ofis ölçümü şeklinde yapılmıştır (124). Rini ve arkadaşları axitinib kullanılan metastatik RCC’li hastalarda hipertansiyon gelişen grubun gelişmeyen gruba göre daha iyi sonlanıma sahip olduğunu bildirmişlerdir(125). Benjamin ve arkadaşları sorafenibin kullanıldığı çeşitli türde metastatik safhada kanseri olan hastalarda hipertansiyon gelişimi ve bunun gelişim hızıyla tümör sonlanımı arasında ilişki olduğunu bildirmişlerdir (126,127).</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Bizim çalışmamızda ise 24 hastanın sadece 1’de hipertansiyon gelişmedi ve hipertansiyon gelişen hastalar sağ kalım yönünden incelendiğinde istatiksel anlamlı bir farklılık saptanmadı. Bu durum vaka sayımızın az olmasıyla ilişkili olabileceği gibi bevacizumab kullanan hastaların yoğun kan basıncı takibi yapılırsa aslında tamamına yakınında kan basıncının yüksekliğinin saptanmasıyla ilişkili olabilir. Ayrıca hastaların hemen hepsinde hipertansiyon gelişmiş olması bu durumun sağkalım yönünden değerlendirildiğinde etkinliğinin olmamasıyla ilişkili olabilir. Böyle bir durumda Benjamin ve arkadaşlarının ortaya attığı hipotez olan hipertansiyon gelişmesinden ziyade gelişme süresinin değerlendirilmesi daha önemli olabilir. Sonuç olarak bizim çalışmamızda bevacizumab tedavisi alan metastatik kolorektal kanserli hastalarda hipertansiyon </w:t>
      </w:r>
      <w:proofErr w:type="gramStart"/>
      <w:r w:rsidRPr="00392ED6">
        <w:rPr>
          <w:rFonts w:eastAsia="Calibri"/>
          <w:lang w:val="tr-TR"/>
        </w:rPr>
        <w:t>literatürde</w:t>
      </w:r>
      <w:proofErr w:type="gramEnd"/>
      <w:r w:rsidRPr="00392ED6">
        <w:rPr>
          <w:rFonts w:eastAsia="Calibri"/>
          <w:lang w:val="tr-TR"/>
        </w:rPr>
        <w:t xml:space="preserve"> bildirilenden daha yoğun olarak saptandı ve bu durumunda etyopatogenezini aydınlatmak için incelediğimiz serum VEGF, NO ve ANG II düzeyleriyle ilişkili olarak bulunamadı.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Çalışmamızda tüm hastalarda proteinüri gelişimi de incelendi. Çalışma süresince toplam 6 hastada mikroalbumüniri gelişti veya var olan mikroalbümüniri şiddetlendi. Literatürü incelediğimizde bevacizumabın kullanıldığı 1355 hastanın yer aldığı 5 randomize kontrollü çalışmada gelişen tüm </w:t>
      </w:r>
      <w:proofErr w:type="gramStart"/>
      <w:r w:rsidRPr="00392ED6">
        <w:rPr>
          <w:rFonts w:eastAsia="Calibri"/>
          <w:lang w:val="tr-TR"/>
        </w:rPr>
        <w:t>proteinürilerin  sıklığı</w:t>
      </w:r>
      <w:proofErr w:type="gramEnd"/>
      <w:r w:rsidRPr="00392ED6">
        <w:rPr>
          <w:rFonts w:eastAsia="Calibri"/>
          <w:lang w:val="tr-TR"/>
        </w:rPr>
        <w:t xml:space="preserve"> %13 olarak saptanmış ve RCC’li hastalarla diğer hastalar arasında proteinüri yönünden anlamlı bir farklılık bulunamamıştır. Yine bu çalışmalarda proteinüri ile hastalıksız sağ kalım ve genel sağ kalım yönünden farklılık olup olmadığına bakılmış ve istatiksel anlamlı bir farklılık saptanmamıştır (128-132). </w:t>
      </w:r>
      <w:r w:rsidRPr="00392ED6">
        <w:rPr>
          <w:rFonts w:eastAsia="Calibri"/>
          <w:lang w:val="tr-TR"/>
        </w:rPr>
        <w:lastRenderedPageBreak/>
        <w:t xml:space="preserve">Biz de kendi çalışmamızda proteinüri gelişmi ile hastalıksız sağ kalım yönünden istatiksel anlamlı bir farklılık bulamadık, bu bulgu </w:t>
      </w:r>
      <w:proofErr w:type="gramStart"/>
      <w:r w:rsidRPr="00392ED6">
        <w:rPr>
          <w:rFonts w:eastAsia="Calibri"/>
          <w:lang w:val="tr-TR"/>
        </w:rPr>
        <w:t>literatürle</w:t>
      </w:r>
      <w:proofErr w:type="gramEnd"/>
      <w:r w:rsidRPr="00392ED6">
        <w:rPr>
          <w:rFonts w:eastAsia="Calibri"/>
          <w:lang w:val="tr-TR"/>
        </w:rPr>
        <w:t xml:space="preserve"> uyumluydu.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Sonuç olarak hedefe yönelik ve kişiye özgü tedavilerin günümüzde giderek daha yaygın kullanıldığı güncel onkolojide hastalığın seyri, tedaviye yanıt ve toksisitenin değerlendirilmesi ve sonlanımın güzel olması giderek önem kazanmaktadır. Bu </w:t>
      </w:r>
      <w:proofErr w:type="gramStart"/>
      <w:r w:rsidRPr="00392ED6">
        <w:rPr>
          <w:rFonts w:eastAsia="Calibri"/>
          <w:lang w:val="tr-TR"/>
        </w:rPr>
        <w:t>bağlamda  etkin</w:t>
      </w:r>
      <w:proofErr w:type="gramEnd"/>
      <w:r w:rsidRPr="00392ED6">
        <w:rPr>
          <w:rFonts w:eastAsia="Calibri"/>
          <w:lang w:val="tr-TR"/>
        </w:rPr>
        <w:t xml:space="preserve"> prognostik ve prediktif faktörlerin belirlenmesi ve rutin kullanıma girmesi tüm bu durumların söylem halinden çıkıp somut hale gelmesine neden olacaktır.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Ayrıca kanserin akut bir hastalık halinden giderek kronik bir hastalık haline dönmesi antikanser tedavilerin giderek daha uzun süreli kullanılmasını gerekli kılmıştır. Bu durum günümüzde bu ilaçlarla ilişkili akut ve kronik yan etkilerin ek komorbidite ve mortalite oluşturması yönünden yakın takibinin yapılmasını gerekli kılmaktadır. Gerçekleştirdiğimiz bu çalışma tüm bu durumların değerlendirilmesi yönünden pratik ve hipotetik olarak literatüre </w:t>
      </w:r>
      <w:proofErr w:type="gramStart"/>
      <w:r w:rsidRPr="00392ED6">
        <w:rPr>
          <w:rFonts w:eastAsia="Calibri"/>
          <w:lang w:val="tr-TR"/>
        </w:rPr>
        <w:t>katkı  sağlayabilecek</w:t>
      </w:r>
      <w:proofErr w:type="gramEnd"/>
      <w:r w:rsidRPr="00392ED6">
        <w:rPr>
          <w:rFonts w:eastAsia="Calibri"/>
          <w:lang w:val="tr-TR"/>
        </w:rPr>
        <w:t xml:space="preserve"> bir çalışmadır ancak vaka sayısımız azdır. Bu nedenle bu konuda daha etkin sonuçlara ulaşabilmek ve klinik pratikte kullanılabilir somut veriler elde edebilmek için çok daha fazla hasta sayısı ile yapılacak randomize kontrollü çalışmalara ihtiyaç vardır.</w:t>
      </w: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keepNext/>
        <w:keepLines/>
        <w:spacing w:before="480" w:line="276" w:lineRule="auto"/>
        <w:jc w:val="both"/>
        <w:outlineLvl w:val="0"/>
        <w:rPr>
          <w:rFonts w:eastAsia="Calibri"/>
          <w:b/>
          <w:bCs/>
          <w:sz w:val="28"/>
          <w:szCs w:val="28"/>
          <w:lang w:val="tr-TR" w:eastAsia="x-none"/>
        </w:rPr>
      </w:pPr>
      <w:r w:rsidRPr="00392ED6">
        <w:rPr>
          <w:rFonts w:eastAsia="Calibri"/>
          <w:b/>
          <w:bCs/>
          <w:sz w:val="28"/>
          <w:szCs w:val="28"/>
          <w:lang w:val="tr-TR" w:eastAsia="x-none"/>
        </w:rPr>
        <w:lastRenderedPageBreak/>
        <w:t>6. SONUÇ VE ÖNERİLER</w:t>
      </w:r>
    </w:p>
    <w:p w:rsidR="00392ED6" w:rsidRPr="00392ED6" w:rsidRDefault="00392ED6" w:rsidP="00392ED6">
      <w:pPr>
        <w:spacing w:after="60" w:line="276" w:lineRule="auto"/>
        <w:jc w:val="both"/>
        <w:outlineLvl w:val="1"/>
        <w:rPr>
          <w:rFonts w:ascii="Cambria" w:hAnsi="Cambria"/>
          <w:lang w:val="tr-TR"/>
        </w:rPr>
      </w:pPr>
    </w:p>
    <w:p w:rsidR="00392ED6" w:rsidRPr="00392ED6" w:rsidRDefault="00392ED6" w:rsidP="00392ED6">
      <w:pPr>
        <w:tabs>
          <w:tab w:val="left" w:pos="5034"/>
        </w:tabs>
        <w:spacing w:after="200" w:line="360" w:lineRule="auto"/>
        <w:ind w:left="360"/>
        <w:jc w:val="both"/>
        <w:rPr>
          <w:rFonts w:eastAsia="Calibri"/>
          <w:lang w:val="tr-TR"/>
        </w:rPr>
      </w:pPr>
      <w:r w:rsidRPr="00392ED6">
        <w:rPr>
          <w:rFonts w:eastAsia="Calibri"/>
          <w:lang w:val="tr-TR"/>
        </w:rPr>
        <w:t>1.Hastalarımızın çoğunluğunu erkek ve kolon kanserli hastalar oluşturmaktaydı.</w:t>
      </w:r>
    </w:p>
    <w:p w:rsidR="00392ED6" w:rsidRPr="00392ED6" w:rsidRDefault="00392ED6" w:rsidP="00392ED6">
      <w:pPr>
        <w:tabs>
          <w:tab w:val="left" w:pos="5034"/>
        </w:tabs>
        <w:spacing w:after="200" w:line="360" w:lineRule="auto"/>
        <w:ind w:left="360"/>
        <w:jc w:val="both"/>
        <w:rPr>
          <w:rFonts w:eastAsia="Calibri"/>
          <w:lang w:val="tr-TR"/>
        </w:rPr>
      </w:pPr>
      <w:r w:rsidRPr="00392ED6">
        <w:rPr>
          <w:rFonts w:eastAsia="Calibri"/>
          <w:lang w:val="tr-TR"/>
        </w:rPr>
        <w:t>2. 6 doz tedavi sonrası serum VEGF düzeyleri ile tümör yanıtı arasında ilişki mevcutken ANG II ve NO ile arasında böyle bir ilişki mevcut değildi.</w:t>
      </w:r>
    </w:p>
    <w:p w:rsidR="00392ED6" w:rsidRPr="00392ED6" w:rsidRDefault="00392ED6" w:rsidP="00392ED6">
      <w:pPr>
        <w:tabs>
          <w:tab w:val="left" w:pos="5034"/>
        </w:tabs>
        <w:spacing w:after="200" w:line="360" w:lineRule="auto"/>
        <w:ind w:left="360"/>
        <w:jc w:val="both"/>
        <w:rPr>
          <w:rFonts w:eastAsia="Calibri"/>
          <w:lang w:val="tr-TR"/>
        </w:rPr>
      </w:pPr>
      <w:r w:rsidRPr="00392ED6">
        <w:rPr>
          <w:rFonts w:eastAsia="Calibri"/>
          <w:lang w:val="tr-TR"/>
        </w:rPr>
        <w:t>3. Bazal ve 6 doz tedavi sonrası NO ve ANG II sevyeleri yönünden istatiksel olarak farklılık yok iken VEGF düzeyleri anlamlı olarak azalıyordu. VEGF düzeylerindeki bu azalma tedaviye cevapla ilişkili bir faktör olarak kullanılabilir.</w:t>
      </w:r>
    </w:p>
    <w:p w:rsidR="00392ED6" w:rsidRPr="00392ED6" w:rsidRDefault="00392ED6" w:rsidP="00392ED6">
      <w:pPr>
        <w:tabs>
          <w:tab w:val="left" w:pos="5034"/>
        </w:tabs>
        <w:spacing w:after="200" w:line="360" w:lineRule="auto"/>
        <w:ind w:left="360"/>
        <w:jc w:val="both"/>
        <w:rPr>
          <w:rFonts w:eastAsia="Calibri"/>
          <w:lang w:val="tr-TR"/>
        </w:rPr>
      </w:pPr>
      <w:r w:rsidRPr="00392ED6">
        <w:rPr>
          <w:rFonts w:eastAsia="Calibri"/>
          <w:lang w:val="tr-TR"/>
        </w:rPr>
        <w:t xml:space="preserve">4. VEGF, ANG II ve NO düzeylerinde değişim ile tümör yanıtı </w:t>
      </w:r>
      <w:proofErr w:type="gramStart"/>
      <w:r w:rsidRPr="00392ED6">
        <w:rPr>
          <w:rFonts w:eastAsia="Calibri"/>
          <w:lang w:val="tr-TR"/>
        </w:rPr>
        <w:t>arasında  ilişki</w:t>
      </w:r>
      <w:proofErr w:type="gramEnd"/>
      <w:r w:rsidRPr="00392ED6">
        <w:rPr>
          <w:rFonts w:eastAsia="Calibri"/>
          <w:lang w:val="tr-TR"/>
        </w:rPr>
        <w:t xml:space="preserve"> mevcut değildi.</w:t>
      </w:r>
    </w:p>
    <w:p w:rsidR="00392ED6" w:rsidRPr="00392ED6" w:rsidRDefault="00392ED6" w:rsidP="00392ED6">
      <w:pPr>
        <w:tabs>
          <w:tab w:val="left" w:pos="5034"/>
        </w:tabs>
        <w:spacing w:after="200" w:line="360" w:lineRule="auto"/>
        <w:ind w:left="360"/>
        <w:jc w:val="both"/>
        <w:rPr>
          <w:rFonts w:eastAsia="Calibri"/>
          <w:lang w:val="tr-TR"/>
        </w:rPr>
      </w:pPr>
      <w:r w:rsidRPr="00392ED6">
        <w:rPr>
          <w:rFonts w:eastAsia="Calibri"/>
          <w:lang w:val="tr-TR"/>
        </w:rPr>
        <w:t xml:space="preserve">5. Sıkı kan basıncı takibiyle bevacizumab kullanan hastaların hemen tamamında hipertansiyon geliştiği gözlendi. Bevacizumab tedavisinde hipertansiyon </w:t>
      </w:r>
      <w:proofErr w:type="gramStart"/>
      <w:r w:rsidRPr="00392ED6">
        <w:rPr>
          <w:rFonts w:eastAsia="Calibri"/>
          <w:lang w:val="tr-TR"/>
        </w:rPr>
        <w:t>gelişiminin  klinik</w:t>
      </w:r>
      <w:proofErr w:type="gramEnd"/>
      <w:r w:rsidRPr="00392ED6">
        <w:rPr>
          <w:rFonts w:eastAsia="Calibri"/>
          <w:lang w:val="tr-TR"/>
        </w:rPr>
        <w:t xml:space="preserve"> cevabı öngörmede  ve prognostik bir faktör olarak değerlendirilmeden önce daha fazla irdelenmesine ihtiyaç vardır. Ayrıca akut ve uzun vadeli yan etkilerinden dolayı hipertansiyon gelişiminin bu hastalarda daha sık aralıklarla takibi gerekmektedir.</w:t>
      </w:r>
    </w:p>
    <w:p w:rsidR="00392ED6" w:rsidRPr="00392ED6" w:rsidRDefault="00392ED6" w:rsidP="00392ED6">
      <w:pPr>
        <w:tabs>
          <w:tab w:val="left" w:pos="5034"/>
        </w:tabs>
        <w:spacing w:after="200" w:line="360" w:lineRule="auto"/>
        <w:ind w:left="360"/>
        <w:jc w:val="both"/>
        <w:rPr>
          <w:rFonts w:eastAsia="Calibri"/>
          <w:lang w:val="tr-TR"/>
        </w:rPr>
      </w:pPr>
      <w:r w:rsidRPr="00392ED6">
        <w:rPr>
          <w:rFonts w:eastAsia="Calibri"/>
          <w:lang w:val="tr-TR"/>
        </w:rPr>
        <w:t>6. Hipertansiyon gelişimiyle VEGF, NO ve ANG II düzeyleri arasında ilişki yoktu.</w:t>
      </w:r>
    </w:p>
    <w:p w:rsidR="00392ED6" w:rsidRPr="00392ED6" w:rsidRDefault="00392ED6" w:rsidP="00392ED6">
      <w:pPr>
        <w:tabs>
          <w:tab w:val="left" w:pos="5034"/>
        </w:tabs>
        <w:spacing w:after="200" w:line="360" w:lineRule="auto"/>
        <w:ind w:left="360"/>
        <w:jc w:val="both"/>
        <w:rPr>
          <w:rFonts w:eastAsia="Calibri"/>
          <w:lang w:val="tr-TR"/>
        </w:rPr>
      </w:pPr>
      <w:r w:rsidRPr="00392ED6">
        <w:rPr>
          <w:rFonts w:eastAsia="Calibri"/>
          <w:lang w:val="tr-TR"/>
        </w:rPr>
        <w:t>7. VEGF, NO ve ANG II düzeylerinden yalnızca 6 doz tedavi sonrası ANG II ile bazal hipertansiyon varlığı arasında ilişki mevcuttu. Bevacizumab kullanan hastalarda hipertansiyon etyopatogenezinde RAS sistemininde etkinliği devam etmektedir.</w:t>
      </w:r>
    </w:p>
    <w:p w:rsidR="00392ED6" w:rsidRPr="00392ED6" w:rsidRDefault="00392ED6" w:rsidP="00392ED6">
      <w:pPr>
        <w:tabs>
          <w:tab w:val="left" w:pos="5034"/>
        </w:tabs>
        <w:spacing w:after="200" w:line="360" w:lineRule="auto"/>
        <w:ind w:left="360"/>
        <w:jc w:val="both"/>
        <w:rPr>
          <w:rFonts w:eastAsia="Calibri"/>
          <w:lang w:val="tr-TR"/>
        </w:rPr>
      </w:pPr>
      <w:r w:rsidRPr="00392ED6">
        <w:rPr>
          <w:rFonts w:eastAsia="Calibri"/>
          <w:lang w:val="tr-TR"/>
        </w:rPr>
        <w:t>8. VEGF, NO, ANG II ile hastalıksız sağ kalım arasında ilişki mevcut değildi.</w:t>
      </w:r>
    </w:p>
    <w:p w:rsidR="00392ED6" w:rsidRPr="00392ED6" w:rsidRDefault="00392ED6" w:rsidP="00392ED6">
      <w:pPr>
        <w:tabs>
          <w:tab w:val="left" w:pos="5034"/>
        </w:tabs>
        <w:spacing w:after="200" w:line="360" w:lineRule="auto"/>
        <w:ind w:left="360"/>
        <w:jc w:val="both"/>
        <w:rPr>
          <w:rFonts w:eastAsia="Calibri"/>
          <w:lang w:val="tr-TR"/>
        </w:rPr>
      </w:pPr>
      <w:r w:rsidRPr="00392ED6">
        <w:rPr>
          <w:rFonts w:eastAsia="Calibri"/>
          <w:lang w:val="tr-TR"/>
        </w:rPr>
        <w:t>9. Hipertansiyon gelişimi ve proteinüri ile hastalıksız sağ kalım arasında ilişki mevcut değildi.</w:t>
      </w:r>
    </w:p>
    <w:p w:rsidR="00392ED6" w:rsidRPr="00392ED6" w:rsidRDefault="00392ED6" w:rsidP="00392ED6">
      <w:pPr>
        <w:tabs>
          <w:tab w:val="left" w:pos="5034"/>
        </w:tabs>
        <w:spacing w:after="200" w:line="360" w:lineRule="auto"/>
        <w:ind w:left="360"/>
        <w:jc w:val="both"/>
        <w:rPr>
          <w:rFonts w:eastAsia="Calibri"/>
          <w:lang w:val="tr-TR"/>
        </w:rPr>
      </w:pPr>
      <w:r w:rsidRPr="00392ED6">
        <w:rPr>
          <w:rFonts w:eastAsia="Calibri"/>
          <w:lang w:val="tr-TR"/>
        </w:rPr>
        <w:t xml:space="preserve">10. Bevacizumab kullanımıyla gelişen hipertansiyon yakın kan basıncı takibiyle </w:t>
      </w:r>
      <w:proofErr w:type="gramStart"/>
      <w:r w:rsidRPr="00392ED6">
        <w:rPr>
          <w:rFonts w:eastAsia="Calibri"/>
          <w:lang w:val="tr-TR"/>
        </w:rPr>
        <w:t>literatürde</w:t>
      </w:r>
      <w:proofErr w:type="gramEnd"/>
      <w:r w:rsidRPr="00392ED6">
        <w:rPr>
          <w:rFonts w:eastAsia="Calibri"/>
          <w:lang w:val="tr-TR"/>
        </w:rPr>
        <w:t xml:space="preserve"> belirtildiğinden daha sık görülmekte olup bu durum belli yaş grubundaki hastalar için ek komorbiditeyle ilişkili olabilir. </w:t>
      </w:r>
    </w:p>
    <w:p w:rsidR="00392ED6" w:rsidRPr="00392ED6" w:rsidRDefault="00392ED6" w:rsidP="00392ED6">
      <w:pPr>
        <w:tabs>
          <w:tab w:val="left" w:pos="5034"/>
        </w:tabs>
        <w:spacing w:after="200" w:line="360" w:lineRule="auto"/>
        <w:ind w:left="360"/>
        <w:jc w:val="both"/>
        <w:rPr>
          <w:rFonts w:eastAsia="Calibri"/>
          <w:lang w:val="tr-TR"/>
        </w:rPr>
      </w:pPr>
      <w:r w:rsidRPr="00392ED6">
        <w:rPr>
          <w:rFonts w:eastAsia="Calibri"/>
          <w:lang w:val="tr-TR"/>
        </w:rPr>
        <w:t xml:space="preserve">11. Bevacizumab </w:t>
      </w:r>
      <w:proofErr w:type="gramStart"/>
      <w:r w:rsidRPr="00392ED6">
        <w:rPr>
          <w:rFonts w:eastAsia="Calibri"/>
          <w:lang w:val="tr-TR"/>
        </w:rPr>
        <w:t>tedavisinde  VEGF</w:t>
      </w:r>
      <w:proofErr w:type="gramEnd"/>
      <w:r w:rsidRPr="00392ED6">
        <w:rPr>
          <w:rFonts w:eastAsia="Calibri"/>
          <w:lang w:val="tr-TR"/>
        </w:rPr>
        <w:t>, NO ve ANG II düzeylerinin prognostik ve prediktif değerini ve hipertansiyonla ilişkisini saptamak için farklı kanser türlerinde vaka sayısının yüksek olduğu çalışmalara ihtiyaç vardır.</w:t>
      </w:r>
    </w:p>
    <w:p w:rsidR="00392ED6" w:rsidRPr="00392ED6" w:rsidRDefault="00392ED6" w:rsidP="00392ED6">
      <w:pPr>
        <w:spacing w:after="200" w:line="276" w:lineRule="auto"/>
        <w:ind w:left="720"/>
        <w:jc w:val="both"/>
        <w:rPr>
          <w:rFonts w:eastAsia="Calibri"/>
          <w:lang w:val="tr-TR"/>
        </w:rPr>
      </w:pPr>
    </w:p>
    <w:p w:rsidR="00392ED6" w:rsidRPr="00392ED6" w:rsidRDefault="00392ED6" w:rsidP="00392ED6">
      <w:pPr>
        <w:tabs>
          <w:tab w:val="left" w:pos="5034"/>
        </w:tabs>
        <w:spacing w:after="200" w:line="360" w:lineRule="auto"/>
        <w:jc w:val="both"/>
        <w:rPr>
          <w:rFonts w:eastAsia="Calibri"/>
          <w:b/>
          <w:sz w:val="28"/>
          <w:szCs w:val="28"/>
          <w:lang w:val="tr-TR"/>
        </w:rPr>
      </w:pPr>
      <w:r w:rsidRPr="00392ED6">
        <w:rPr>
          <w:rFonts w:eastAsia="Calibri"/>
          <w:b/>
          <w:sz w:val="28"/>
          <w:szCs w:val="28"/>
          <w:lang w:val="tr-TR"/>
        </w:rPr>
        <w:lastRenderedPageBreak/>
        <w:t>7. Kaynaklar</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1.Jemal A, Tiwari RC, Murray T, et al. (2004) Cancer statistics. </w:t>
      </w:r>
      <w:r w:rsidRPr="00392ED6">
        <w:rPr>
          <w:rFonts w:eastAsia="Calibri"/>
          <w:i/>
          <w:lang w:val="tr-TR"/>
        </w:rPr>
        <w:t>CA Cancer J. Clin.</w:t>
      </w:r>
      <w:r w:rsidRPr="00392ED6" w:rsidDel="005A749D">
        <w:rPr>
          <w:rFonts w:eastAsia="Calibri"/>
          <w:lang w:val="tr-TR"/>
        </w:rPr>
        <w:t xml:space="preserve"> </w:t>
      </w:r>
      <w:proofErr w:type="gramStart"/>
      <w:r w:rsidRPr="00392ED6">
        <w:rPr>
          <w:rFonts w:eastAsia="Calibri"/>
          <w:lang w:val="tr-TR"/>
        </w:rPr>
        <w:t>54:8</w:t>
      </w:r>
      <w:proofErr w:type="gramEnd"/>
      <w:r w:rsidRPr="00392ED6">
        <w:rPr>
          <w:rFonts w:eastAsia="Calibri"/>
          <w:lang w:val="tr-TR"/>
        </w:rPr>
        <w:t>-29.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2.Kramer I, Lipp HP(2007)  Bevacizumab, a humanized anti-angiogenic monoclonal antibody for the treatment of colorectal cancer. </w:t>
      </w:r>
      <w:r w:rsidRPr="00392ED6">
        <w:rPr>
          <w:rFonts w:eastAsia="Calibri"/>
          <w:i/>
          <w:lang w:val="tr-TR"/>
        </w:rPr>
        <w:t xml:space="preserve">J.Clin. </w:t>
      </w:r>
      <w:proofErr w:type="gramStart"/>
      <w:r w:rsidRPr="00392ED6">
        <w:rPr>
          <w:rFonts w:eastAsia="Calibri"/>
          <w:i/>
          <w:lang w:val="tr-TR"/>
        </w:rPr>
        <w:t>Pharm.Ther</w:t>
      </w:r>
      <w:proofErr w:type="gramEnd"/>
      <w:r w:rsidRPr="00392ED6">
        <w:rPr>
          <w:rFonts w:eastAsia="Calibri"/>
          <w:i/>
          <w:lang w:val="tr-TR"/>
        </w:rPr>
        <w:t>.</w:t>
      </w:r>
      <w:r w:rsidRPr="00392ED6" w:rsidDel="005A749D">
        <w:rPr>
          <w:rFonts w:eastAsia="Calibri"/>
          <w:lang w:val="tr-TR"/>
        </w:rPr>
        <w:t xml:space="preserve"> </w:t>
      </w:r>
      <w:proofErr w:type="gramStart"/>
      <w:r w:rsidRPr="00392ED6">
        <w:rPr>
          <w:rFonts w:eastAsia="Calibri"/>
          <w:lang w:val="tr-TR"/>
        </w:rPr>
        <w:t>32:1</w:t>
      </w:r>
      <w:proofErr w:type="gramEnd"/>
      <w:r w:rsidRPr="00392ED6">
        <w:rPr>
          <w:rFonts w:eastAsia="Calibri"/>
          <w:lang w:val="tr-TR"/>
        </w:rPr>
        <w:t>-14.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 3.Zhu X, Wu S, Dahut WL, et al. (2007) Risks of proteinuria and </w:t>
      </w:r>
      <w:proofErr w:type="gramStart"/>
      <w:r w:rsidRPr="00392ED6">
        <w:rPr>
          <w:rFonts w:eastAsia="Calibri"/>
          <w:lang w:val="tr-TR"/>
        </w:rPr>
        <w:t>hypertension  with</w:t>
      </w:r>
      <w:proofErr w:type="gramEnd"/>
      <w:r w:rsidRPr="00392ED6">
        <w:rPr>
          <w:rFonts w:eastAsia="Calibri"/>
          <w:lang w:val="tr-TR"/>
        </w:rPr>
        <w:t xml:space="preserve">        bevacizumab, an antibody against vascular endothelial growth factor: systematic  review and meta-analysis. </w:t>
      </w:r>
      <w:r w:rsidRPr="00392ED6">
        <w:rPr>
          <w:rFonts w:eastAsia="Calibri"/>
          <w:i/>
          <w:lang w:val="tr-TR"/>
        </w:rPr>
        <w:t>Am. J. Kidney. Dis.</w:t>
      </w:r>
      <w:r w:rsidRPr="00392ED6">
        <w:rPr>
          <w:rFonts w:eastAsia="Calibri"/>
          <w:lang w:val="tr-TR"/>
        </w:rPr>
        <w:t xml:space="preserve"> 49 (2): 186-93.</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4.Wingo PA, Ries LA, Parker SL et al. (2007) Long-term cancer patient survival in the United                                                          States. </w:t>
      </w:r>
      <w:r w:rsidRPr="00392ED6">
        <w:rPr>
          <w:rFonts w:eastAsia="Calibri"/>
          <w:i/>
          <w:lang w:val="tr-TR"/>
        </w:rPr>
        <w:t>Cancer Epidemiol. Biomarkers Prev.</w:t>
      </w:r>
      <w:r w:rsidRPr="00392ED6">
        <w:rPr>
          <w:rFonts w:eastAsia="Calibri"/>
          <w:lang w:val="tr-TR"/>
        </w:rPr>
        <w:t xml:space="preserve"> 7: 271-282.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5. Midgley R, Kerr D. (2004) Colorectal cancer. </w:t>
      </w:r>
      <w:r w:rsidRPr="00392ED6">
        <w:rPr>
          <w:rFonts w:eastAsia="Calibri"/>
          <w:i/>
          <w:lang w:val="tr-TR"/>
        </w:rPr>
        <w:t>Lancet.</w:t>
      </w:r>
      <w:r w:rsidRPr="00392ED6" w:rsidDel="00F43284">
        <w:rPr>
          <w:rFonts w:eastAsia="Calibri"/>
          <w:lang w:val="tr-TR"/>
        </w:rPr>
        <w:t xml:space="preserve"> </w:t>
      </w:r>
      <w:r w:rsidRPr="00392ED6">
        <w:rPr>
          <w:rFonts w:eastAsia="Calibri"/>
          <w:lang w:val="tr-TR"/>
        </w:rPr>
        <w:t xml:space="preserve">353:391-399.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6. Siegel R, Ward E, Brawley O, Jemal A. (2011) Cancer statistics, 2011: The impact </w:t>
      </w:r>
      <w:proofErr w:type="gramStart"/>
      <w:r w:rsidRPr="00392ED6">
        <w:rPr>
          <w:rFonts w:eastAsia="Calibri"/>
          <w:lang w:val="tr-TR"/>
        </w:rPr>
        <w:t>of    eliminating</w:t>
      </w:r>
      <w:proofErr w:type="gramEnd"/>
      <w:r w:rsidRPr="00392ED6">
        <w:rPr>
          <w:rFonts w:eastAsia="Calibri"/>
          <w:lang w:val="tr-TR"/>
        </w:rPr>
        <w:t xml:space="preserve"> socioeconomic and racial disparities on premature cancer deaths. </w:t>
      </w:r>
      <w:r w:rsidRPr="00392ED6">
        <w:rPr>
          <w:rFonts w:eastAsia="Calibri"/>
          <w:i/>
          <w:lang w:val="tr-TR"/>
        </w:rPr>
        <w:t>CA Cancer J.   Clin.</w:t>
      </w:r>
      <w:r w:rsidRPr="00392ED6">
        <w:rPr>
          <w:rFonts w:eastAsia="Calibri"/>
          <w:lang w:val="tr-TR"/>
        </w:rPr>
        <w:t xml:space="preserve"> </w:t>
      </w:r>
      <w:proofErr w:type="gramStart"/>
      <w:r w:rsidRPr="00392ED6">
        <w:rPr>
          <w:rFonts w:eastAsia="Calibri"/>
          <w:lang w:val="tr-TR"/>
        </w:rPr>
        <w:t>61:212</w:t>
      </w:r>
      <w:proofErr w:type="gramEnd"/>
      <w:r w:rsidRPr="00392ED6">
        <w:rPr>
          <w:rFonts w:eastAsia="Calibri"/>
          <w:lang w:val="tr-TR"/>
        </w:rPr>
        <w:t>.</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7. Jemal A, Bray F, Center MM, et al. (2011) Global cancer statistics. </w:t>
      </w:r>
      <w:r w:rsidRPr="00392ED6">
        <w:rPr>
          <w:rFonts w:eastAsia="Calibri"/>
          <w:i/>
          <w:lang w:val="tr-TR"/>
        </w:rPr>
        <w:t>CA Cancer J. Clin.</w:t>
      </w:r>
      <w:r w:rsidRPr="00392ED6">
        <w:rPr>
          <w:rFonts w:eastAsia="Calibri"/>
          <w:lang w:val="tr-TR"/>
        </w:rPr>
        <w:t xml:space="preserve"> </w:t>
      </w:r>
      <w:proofErr w:type="gramStart"/>
      <w:r w:rsidRPr="00392ED6">
        <w:rPr>
          <w:rFonts w:eastAsia="Calibri"/>
          <w:lang w:val="tr-TR"/>
        </w:rPr>
        <w:t>61:69</w:t>
      </w:r>
      <w:proofErr w:type="gramEnd"/>
      <w:r w:rsidRPr="00392ED6">
        <w:rPr>
          <w:rFonts w:eastAsia="Calibri"/>
          <w:lang w:val="tr-TR"/>
        </w:rPr>
        <w:t>.</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8. Speights VO, Johnson MW, Stoltenberg PH, et al. (1991) Colorectal cancer: current trends in initial clinical manifestations. </w:t>
      </w:r>
      <w:r w:rsidRPr="00392ED6">
        <w:rPr>
          <w:rFonts w:eastAsia="Calibri"/>
          <w:i/>
          <w:lang w:val="tr-TR"/>
        </w:rPr>
        <w:t>South Med. J.</w:t>
      </w:r>
      <w:r w:rsidRPr="00392ED6">
        <w:rPr>
          <w:rFonts w:eastAsia="Calibri"/>
          <w:lang w:val="tr-TR"/>
        </w:rPr>
        <w:t xml:space="preserve"> </w:t>
      </w:r>
      <w:proofErr w:type="gramStart"/>
      <w:r w:rsidRPr="00392ED6">
        <w:rPr>
          <w:rFonts w:eastAsia="Calibri"/>
          <w:lang w:val="tr-TR"/>
        </w:rPr>
        <w:t>84:575</w:t>
      </w:r>
      <w:proofErr w:type="gramEnd"/>
      <w:r w:rsidRPr="00392ED6">
        <w:rPr>
          <w:rFonts w:eastAsia="Calibri"/>
          <w:lang w:val="tr-TR"/>
        </w:rPr>
        <w:t>.</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9. Steinberg SM, Barkin JS, Kaplan RS, Stablein DM. (1986) Prognostic indicators of colon tumors. The Gastrointestinal Tumor Study Group experience. </w:t>
      </w:r>
      <w:r w:rsidRPr="00392ED6">
        <w:rPr>
          <w:rFonts w:eastAsia="Calibri"/>
          <w:i/>
          <w:lang w:val="tr-TR"/>
        </w:rPr>
        <w:t>Cancer</w:t>
      </w:r>
      <w:r w:rsidRPr="00392ED6">
        <w:rPr>
          <w:rFonts w:eastAsia="Calibri"/>
          <w:lang w:val="tr-TR"/>
        </w:rPr>
        <w:t xml:space="preserve"> </w:t>
      </w:r>
      <w:proofErr w:type="gramStart"/>
      <w:r w:rsidRPr="00392ED6">
        <w:rPr>
          <w:rFonts w:eastAsia="Calibri"/>
          <w:lang w:val="tr-TR"/>
        </w:rPr>
        <w:t>57:1866</w:t>
      </w:r>
      <w:proofErr w:type="gramEnd"/>
      <w:r w:rsidRPr="00392ED6">
        <w:rPr>
          <w:rFonts w:eastAsia="Calibri"/>
          <w:lang w:val="tr-TR"/>
        </w:rPr>
        <w:t>.</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10.Ford AC, Veldhuyzen van Zanten SJ, Rodgers CC, et al. (2008) Diagnostic utility of alarm features for colorectal cancer: systematic review and meta-analysis. </w:t>
      </w:r>
      <w:r w:rsidRPr="00392ED6">
        <w:rPr>
          <w:rFonts w:eastAsia="Calibri"/>
          <w:i/>
          <w:lang w:val="tr-TR"/>
        </w:rPr>
        <w:t xml:space="preserve">Gut </w:t>
      </w:r>
      <w:proofErr w:type="gramStart"/>
      <w:r w:rsidRPr="00392ED6">
        <w:rPr>
          <w:rFonts w:eastAsia="Calibri"/>
          <w:lang w:val="tr-TR"/>
        </w:rPr>
        <w:t>57:1545</w:t>
      </w:r>
      <w:proofErr w:type="gramEnd"/>
      <w:r w:rsidRPr="00392ED6">
        <w:rPr>
          <w:rFonts w:eastAsia="Calibri"/>
          <w:lang w:val="tr-TR"/>
        </w:rPr>
        <w:t>.</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11.Siegel R, Ward E, Brawley O, Jemal A. (2011) Cancer statistics, 2011: The impact of eliminating socioeconomic and racial disparities on premature cancer deaths. </w:t>
      </w:r>
      <w:r w:rsidRPr="00392ED6">
        <w:rPr>
          <w:rFonts w:eastAsia="Calibri"/>
          <w:i/>
          <w:lang w:val="tr-TR"/>
        </w:rPr>
        <w:t>CA Cancer J. Clin.</w:t>
      </w:r>
      <w:r w:rsidRPr="00392ED6">
        <w:rPr>
          <w:rFonts w:eastAsia="Calibri"/>
          <w:lang w:val="tr-TR"/>
        </w:rPr>
        <w:t xml:space="preserve"> </w:t>
      </w:r>
      <w:proofErr w:type="gramStart"/>
      <w:r w:rsidRPr="00392ED6">
        <w:rPr>
          <w:rFonts w:eastAsia="Calibri"/>
          <w:lang w:val="tr-TR"/>
        </w:rPr>
        <w:t>61:212</w:t>
      </w:r>
      <w:proofErr w:type="gramEnd"/>
      <w:r w:rsidRPr="00392ED6">
        <w:rPr>
          <w:rFonts w:eastAsia="Calibri"/>
          <w:lang w:val="tr-TR"/>
        </w:rPr>
        <w:t>.</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12. Carmeliet P. (2003) Angiogenesis in health and disease. </w:t>
      </w:r>
      <w:r w:rsidRPr="00392ED6">
        <w:rPr>
          <w:rFonts w:eastAsia="Calibri"/>
          <w:i/>
          <w:lang w:val="tr-TR"/>
        </w:rPr>
        <w:t xml:space="preserve">Nat. Med. </w:t>
      </w:r>
      <w:r w:rsidRPr="00392ED6">
        <w:rPr>
          <w:rFonts w:eastAsia="Calibri"/>
          <w:lang w:val="tr-TR"/>
        </w:rPr>
        <w:t>9: 653-660.</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13. Luttun A, Dewerchin M, Collen D, Carmeliet P. (2000) The role of proteinases in angiogenesis, heart development, restenosis, atherosclerosis, myocardial ischemia, and stroke: insights from genetic studies. </w:t>
      </w:r>
      <w:r w:rsidRPr="00392ED6">
        <w:rPr>
          <w:rFonts w:eastAsia="Calibri"/>
          <w:i/>
          <w:lang w:val="tr-TR"/>
        </w:rPr>
        <w:t>Curr. Atheroscler. Rep.</w:t>
      </w:r>
      <w:r w:rsidRPr="00392ED6">
        <w:rPr>
          <w:rFonts w:eastAsia="Calibri"/>
          <w:lang w:val="tr-TR"/>
        </w:rPr>
        <w:t xml:space="preserve"> 2: 407-416.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14. Bergers G, Benjamin LE. (2003) Tumorigenesis and the angiogenic switch. </w:t>
      </w:r>
      <w:r w:rsidRPr="00392ED6">
        <w:rPr>
          <w:rFonts w:eastAsia="Calibri"/>
          <w:i/>
          <w:lang w:val="tr-TR"/>
        </w:rPr>
        <w:t>Nat. Rev. Cancer.</w:t>
      </w:r>
      <w:r w:rsidRPr="00392ED6">
        <w:rPr>
          <w:rFonts w:eastAsia="Calibri"/>
          <w:lang w:val="tr-TR"/>
        </w:rPr>
        <w:t xml:space="preserve"> 3: 401-410.</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15. Yin G, Liu W, An P, Li P, Ding I, Planelles V, Schwarz EM, Min W. (2002) Endostatin gene transfer inhibits joint angiogenesis and pannus formation in inflammatory arthritis. </w:t>
      </w:r>
      <w:r w:rsidRPr="00392ED6">
        <w:rPr>
          <w:rFonts w:eastAsia="Calibri"/>
          <w:i/>
          <w:lang w:val="tr-TR"/>
        </w:rPr>
        <w:t>Mol. Ther.</w:t>
      </w:r>
      <w:r w:rsidRPr="00392ED6">
        <w:rPr>
          <w:rFonts w:eastAsia="Calibri"/>
          <w:lang w:val="tr-TR"/>
        </w:rPr>
        <w:t xml:space="preserve"> 5: 547-554.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16. Lawrence WT, Diegelmann RF. (1994) Growth factors in wound healing. </w:t>
      </w:r>
      <w:r w:rsidRPr="00392ED6">
        <w:rPr>
          <w:rFonts w:eastAsia="Calibri"/>
          <w:i/>
          <w:lang w:val="tr-TR"/>
        </w:rPr>
        <w:t>Clin. Dermatol.</w:t>
      </w:r>
      <w:r w:rsidRPr="00392ED6">
        <w:rPr>
          <w:rFonts w:eastAsia="Calibri"/>
          <w:lang w:val="tr-TR"/>
        </w:rPr>
        <w:t xml:space="preserve"> 12: 157-169.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17. Goodsell DS. (2003) The moleculer perspective: VEGF and angiogenesis. </w:t>
      </w:r>
      <w:r w:rsidRPr="00392ED6">
        <w:rPr>
          <w:rFonts w:eastAsia="Calibri"/>
          <w:i/>
          <w:lang w:val="tr-TR"/>
        </w:rPr>
        <w:t>Stem Cells.</w:t>
      </w:r>
      <w:r w:rsidRPr="00392ED6">
        <w:rPr>
          <w:rFonts w:eastAsia="Calibri"/>
          <w:lang w:val="tr-TR"/>
        </w:rPr>
        <w:t xml:space="preserve"> 21: 118-119.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18. Brooks PC. (1996) Role of integrins in angiogenesis. </w:t>
      </w:r>
      <w:r w:rsidRPr="00392ED6">
        <w:rPr>
          <w:rFonts w:eastAsia="Calibri"/>
          <w:i/>
          <w:lang w:val="tr-TR"/>
        </w:rPr>
        <w:t xml:space="preserve">Eur. J. </w:t>
      </w:r>
      <w:proofErr w:type="gramStart"/>
      <w:r w:rsidRPr="00392ED6">
        <w:rPr>
          <w:rFonts w:eastAsia="Calibri"/>
          <w:i/>
          <w:lang w:val="tr-TR"/>
        </w:rPr>
        <w:t>Cancer .</w:t>
      </w:r>
      <w:proofErr w:type="gramEnd"/>
      <w:r w:rsidRPr="00392ED6">
        <w:rPr>
          <w:rFonts w:eastAsia="Calibri"/>
          <w:lang w:val="tr-TR"/>
        </w:rPr>
        <w:t xml:space="preserve"> 32A: 2423-2429.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19. Hu DE, Hori Y, Fan TP. (1993) İnterleukin–8 stimulates angiogenesis in rats. </w:t>
      </w:r>
      <w:r w:rsidRPr="00392ED6">
        <w:rPr>
          <w:rFonts w:eastAsia="Calibri"/>
          <w:i/>
          <w:lang w:val="tr-TR"/>
        </w:rPr>
        <w:t>Inflammation.</w:t>
      </w:r>
      <w:r w:rsidRPr="00392ED6">
        <w:rPr>
          <w:rFonts w:eastAsia="Calibri"/>
          <w:lang w:val="tr-TR"/>
        </w:rPr>
        <w:t xml:space="preserve"> 17: 135-143.</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20. Allure R. (2003) Basement membranes: Structure, assembly and role in tumor angiogenesis. Nat. Rev. </w:t>
      </w:r>
      <w:r w:rsidRPr="00392ED6">
        <w:rPr>
          <w:rFonts w:eastAsia="Calibri"/>
          <w:i/>
          <w:lang w:val="tr-TR"/>
        </w:rPr>
        <w:t>Cancer.</w:t>
      </w:r>
      <w:r w:rsidRPr="00392ED6">
        <w:rPr>
          <w:rFonts w:eastAsia="Calibri"/>
          <w:lang w:val="tr-TR"/>
        </w:rPr>
        <w:t xml:space="preserve"> 3: 422-433.</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21. Haroon ZA, Peters KG, Greenberg CS, Dewhirst MW. (1999) Angiogenesis and Oxygen Transport in Solid Tumors. In: Totowa, New Jersey, Teicher BA (eds). Antiangiogenic Agents in Cancer Therapy. </w:t>
      </w:r>
      <w:r w:rsidRPr="00392ED6">
        <w:rPr>
          <w:rFonts w:eastAsia="Calibri"/>
          <w:i/>
          <w:lang w:val="tr-TR"/>
        </w:rPr>
        <w:t>Humana Press.</w:t>
      </w:r>
      <w:r w:rsidRPr="00392ED6">
        <w:rPr>
          <w:rFonts w:eastAsia="Calibri"/>
          <w:lang w:val="tr-TR"/>
        </w:rPr>
        <w:t xml:space="preserve"> 3-21.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22. Ide AG, Bake NH, Warren SL. (1939) Vascularization of the Brown-Pearce rabbit epithelioma transplant as seen in the transparent ear chamber. </w:t>
      </w:r>
      <w:r w:rsidRPr="00392ED6">
        <w:rPr>
          <w:rFonts w:eastAsia="Calibri"/>
          <w:i/>
          <w:lang w:val="tr-TR"/>
        </w:rPr>
        <w:t>Am. J. Roentgenol.</w:t>
      </w:r>
      <w:r w:rsidRPr="00392ED6">
        <w:rPr>
          <w:rFonts w:eastAsia="Calibri"/>
          <w:lang w:val="tr-TR"/>
        </w:rPr>
        <w:t xml:space="preserve"> 42: 891-899.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23.Abali H, Abalı G. (2005) Angiogenesis and Anti Angiogenesis in Neoplastic and Non Neoplastic Diseases. </w:t>
      </w:r>
      <w:r w:rsidRPr="00392ED6">
        <w:rPr>
          <w:rFonts w:eastAsia="Calibri"/>
          <w:i/>
          <w:lang w:val="tr-TR"/>
        </w:rPr>
        <w:t>New Angiogenesis Research.</w:t>
      </w:r>
      <w:r w:rsidRPr="00392ED6" w:rsidDel="00F43284">
        <w:rPr>
          <w:rFonts w:eastAsia="Calibri"/>
          <w:lang w:val="tr-TR"/>
        </w:rPr>
        <w:t xml:space="preserve"> </w:t>
      </w:r>
      <w:r w:rsidRPr="00392ED6">
        <w:rPr>
          <w:rFonts w:eastAsia="Calibri"/>
          <w:lang w:val="tr-TR"/>
        </w:rPr>
        <w:t>235-255.</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24. Algire GH, Chalkey HW, Legallais FY, Park H. (1945) Vascular reactions of normal and malignant tumours in vivo. </w:t>
      </w:r>
      <w:r w:rsidRPr="00392ED6">
        <w:rPr>
          <w:rFonts w:eastAsia="Calibri"/>
          <w:i/>
          <w:lang w:val="tr-TR"/>
        </w:rPr>
        <w:t>JNCI.</w:t>
      </w:r>
      <w:r w:rsidRPr="00392ED6">
        <w:rPr>
          <w:rFonts w:eastAsia="Calibri"/>
          <w:lang w:val="tr-TR"/>
        </w:rPr>
        <w:t xml:space="preserve"> 6: 73-85.</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25. Folkman J. (1971) Tumor angiogenesis: Therapeutic implications. </w:t>
      </w:r>
      <w:r w:rsidRPr="00392ED6">
        <w:rPr>
          <w:rFonts w:eastAsia="Calibri"/>
          <w:i/>
          <w:lang w:val="tr-TR"/>
        </w:rPr>
        <w:t>N. Engl. J. Med.</w:t>
      </w:r>
      <w:r w:rsidRPr="00392ED6">
        <w:rPr>
          <w:rFonts w:eastAsia="Calibri"/>
          <w:lang w:val="tr-TR"/>
        </w:rPr>
        <w:t xml:space="preserve"> 285: 1182-1186.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26. Chodak GW, Haudenschild C, Gittes FF, Folkman J. (1980) Angiogenic activity as a marker of neoplastic and preneoplastic lesions of the human bladder. </w:t>
      </w:r>
      <w:r w:rsidRPr="00392ED6">
        <w:rPr>
          <w:rFonts w:eastAsia="Calibri"/>
          <w:i/>
          <w:lang w:val="tr-TR"/>
        </w:rPr>
        <w:t>Ann. Surg.</w:t>
      </w:r>
      <w:r w:rsidRPr="00392ED6">
        <w:rPr>
          <w:rFonts w:eastAsia="Calibri"/>
          <w:lang w:val="tr-TR"/>
        </w:rPr>
        <w:t xml:space="preserve"> 192: 762-771.</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27. Bergers G, Benjamin LE. (2003) Tumorigenesis and the angiogenic switch. </w:t>
      </w:r>
      <w:r w:rsidRPr="00392ED6">
        <w:rPr>
          <w:rFonts w:eastAsia="Calibri"/>
          <w:i/>
          <w:lang w:val="tr-TR"/>
        </w:rPr>
        <w:t>Nat. Rev. Cancer.</w:t>
      </w:r>
      <w:r w:rsidRPr="00392ED6">
        <w:rPr>
          <w:rFonts w:eastAsia="Calibri"/>
          <w:lang w:val="tr-TR"/>
        </w:rPr>
        <w:t xml:space="preserve"> 3: 401-410.</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28. Tonini T, Rossi F, Claudio PP. (2003) Molecular basis of angiogenesis and cancer. </w:t>
      </w:r>
      <w:r w:rsidRPr="00392ED6">
        <w:rPr>
          <w:rFonts w:eastAsia="Calibri"/>
          <w:i/>
          <w:lang w:val="tr-TR"/>
        </w:rPr>
        <w:t>Oncogene.</w:t>
      </w:r>
      <w:r w:rsidRPr="00392ED6">
        <w:rPr>
          <w:rFonts w:eastAsia="Calibri"/>
          <w:lang w:val="tr-TR"/>
        </w:rPr>
        <w:t xml:space="preserve"> 22: 6549-6556.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29. Ferrara N, Gerber HP, LeCouter J. (2003) The biology of VEGF and its receptors. </w:t>
      </w:r>
      <w:r w:rsidRPr="00392ED6">
        <w:rPr>
          <w:rFonts w:eastAsia="Calibri"/>
          <w:i/>
          <w:lang w:val="tr-TR"/>
        </w:rPr>
        <w:t>Nat. Med.</w:t>
      </w:r>
      <w:r w:rsidRPr="00392ED6">
        <w:rPr>
          <w:rFonts w:eastAsia="Calibri"/>
          <w:lang w:val="tr-TR"/>
        </w:rPr>
        <w:t xml:space="preserve"> 9: 669-676.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30. Tischer E, Mitchell R, Hartman T, et al. (1991) The human gene for vascular endothelialgrowth factor: multiple protein forms are encoded through alternative exon splicing. </w:t>
      </w:r>
      <w:r w:rsidRPr="00392ED6">
        <w:rPr>
          <w:rFonts w:eastAsia="Calibri"/>
          <w:i/>
          <w:lang w:val="tr-TR"/>
        </w:rPr>
        <w:t xml:space="preserve">J. Biol. Chem. </w:t>
      </w:r>
      <w:r w:rsidRPr="00392ED6">
        <w:rPr>
          <w:rFonts w:eastAsia="Calibri"/>
          <w:lang w:val="tr-TR"/>
        </w:rPr>
        <w:t>266: 11947-11954.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31. Ferrara N. (2000) Vascular endothelial growth factor and the regulation of angiogenesis. </w:t>
      </w:r>
      <w:r w:rsidRPr="00392ED6">
        <w:rPr>
          <w:rFonts w:eastAsia="Calibri"/>
          <w:i/>
          <w:lang w:val="tr-TR"/>
        </w:rPr>
        <w:t xml:space="preserve">Recent Prog. Horm. Res. </w:t>
      </w:r>
      <w:r w:rsidRPr="00392ED6">
        <w:rPr>
          <w:rFonts w:eastAsia="Calibri"/>
          <w:lang w:val="tr-TR"/>
        </w:rPr>
        <w:t>55: 15-35.</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32. Ferrara N, Gerber HP, LeCouter J. (2003) The biology of VEGF and its receptors. </w:t>
      </w:r>
      <w:r w:rsidRPr="00392ED6">
        <w:rPr>
          <w:rFonts w:eastAsia="Calibri"/>
          <w:i/>
          <w:lang w:val="tr-TR"/>
        </w:rPr>
        <w:t>Nat. Med.</w:t>
      </w:r>
      <w:r w:rsidRPr="00392ED6">
        <w:rPr>
          <w:rFonts w:eastAsia="Calibri"/>
          <w:lang w:val="tr-TR"/>
        </w:rPr>
        <w:t xml:space="preserve"> 9: 669-76.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33. Ferrara N. (1999) Molecular and biological properties of vascular endothelial growth factor.  </w:t>
      </w:r>
      <w:r w:rsidRPr="00392ED6">
        <w:rPr>
          <w:rFonts w:eastAsia="Calibri"/>
          <w:i/>
          <w:lang w:val="tr-TR"/>
        </w:rPr>
        <w:t xml:space="preserve">J. Mol. Med. </w:t>
      </w:r>
      <w:r w:rsidRPr="00392ED6">
        <w:rPr>
          <w:rFonts w:eastAsia="Calibri"/>
          <w:lang w:val="tr-TR"/>
        </w:rPr>
        <w:t>77 (7): 527-543.</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34. Keshet E, Ben-Sasson SA. (1999) Anticancer drug targets: approaching angiogenesis. </w:t>
      </w:r>
      <w:r w:rsidRPr="00392ED6">
        <w:rPr>
          <w:rFonts w:eastAsia="Calibri"/>
          <w:i/>
          <w:lang w:val="tr-TR"/>
        </w:rPr>
        <w:t xml:space="preserve">J. Clin. Invest. </w:t>
      </w:r>
      <w:r w:rsidRPr="00392ED6">
        <w:rPr>
          <w:rFonts w:eastAsia="Calibri"/>
          <w:lang w:val="tr-TR"/>
        </w:rPr>
        <w:t>104: 1497-1501.</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35. Linderholm BK, Lindh B, Beckman L, et al. (2003) Prognostic correlation of basic fibroblast growth factor and vascular endothelial growth factor in 1307 primary breast cancers. </w:t>
      </w:r>
      <w:r w:rsidRPr="00392ED6">
        <w:rPr>
          <w:rFonts w:eastAsia="Calibri"/>
          <w:i/>
          <w:lang w:val="tr-TR"/>
        </w:rPr>
        <w:t>Clin. Breast Cancer.</w:t>
      </w:r>
      <w:r w:rsidRPr="00392ED6">
        <w:rPr>
          <w:rFonts w:eastAsia="Calibri"/>
          <w:lang w:val="tr-TR"/>
        </w:rPr>
        <w:t xml:space="preserve"> 4: 340-347.</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36. Sledge Jr GW. (2002) Vascular endothelial growth factor in breast cancer: biologic and therapeutic aspects. </w:t>
      </w:r>
      <w:r w:rsidRPr="00392ED6">
        <w:rPr>
          <w:rFonts w:eastAsia="Calibri"/>
          <w:i/>
          <w:lang w:val="tr-TR"/>
        </w:rPr>
        <w:t xml:space="preserve">Semin. Oncol. </w:t>
      </w:r>
      <w:r w:rsidRPr="00392ED6">
        <w:rPr>
          <w:rFonts w:eastAsia="Calibri"/>
          <w:lang w:val="tr-TR"/>
        </w:rPr>
        <w:t>29: 104-110.</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37. Foekens JA, Peters HA, Grebenchtchikov N, et al. (2001) High tumor levels of vascular endothelial growth factor predict poor response to systemic therapy in advanced breast cancer. </w:t>
      </w:r>
      <w:r w:rsidRPr="00392ED6">
        <w:rPr>
          <w:rFonts w:eastAsia="Calibri"/>
          <w:i/>
          <w:lang w:val="tr-TR"/>
        </w:rPr>
        <w:t>Cancer Res.</w:t>
      </w:r>
      <w:r w:rsidRPr="00392ED6">
        <w:rPr>
          <w:rFonts w:eastAsia="Calibri"/>
          <w:lang w:val="tr-TR"/>
        </w:rPr>
        <w:t xml:space="preserve"> 61: 5407-5414.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38. Ferrara N. (2001) Role of VEGF in regulation of physiological angiogenesis. </w:t>
      </w:r>
      <w:r w:rsidRPr="00392ED6">
        <w:rPr>
          <w:rFonts w:eastAsia="Calibri"/>
          <w:i/>
          <w:lang w:val="tr-TR"/>
        </w:rPr>
        <w:t xml:space="preserve">Am. J. Physiol. Cell. Physiol. </w:t>
      </w:r>
      <w:r w:rsidRPr="00392ED6">
        <w:rPr>
          <w:rFonts w:eastAsia="Calibri"/>
          <w:lang w:val="tr-TR"/>
        </w:rPr>
        <w:t>280:1358-1366.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39. Asahara T, Chen D, Tsurumi Y, Kearney M, Rossow S, Passeri J et al. (1996) Accelerated restitution of endothelial integrity and endothelial-dependent function after phVEGF165 gene transfer. </w:t>
      </w:r>
      <w:r w:rsidRPr="00392ED6">
        <w:rPr>
          <w:rFonts w:eastAsia="Calibri"/>
          <w:i/>
          <w:lang w:val="tr-TR"/>
        </w:rPr>
        <w:t>Circulation</w:t>
      </w:r>
      <w:r w:rsidRPr="00392ED6">
        <w:rPr>
          <w:rFonts w:eastAsia="Calibri"/>
          <w:lang w:val="tr-TR"/>
        </w:rPr>
        <w:t xml:space="preserve"> 94: 3291-3302.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40. Xie K, Wei D, Shi Q, Huang S. (2004) Constitutive and inducible expression and regulation of vascular endothelial growth factor. </w:t>
      </w:r>
      <w:r w:rsidRPr="00392ED6">
        <w:rPr>
          <w:rFonts w:eastAsia="Calibri"/>
          <w:i/>
          <w:lang w:val="tr-TR"/>
        </w:rPr>
        <w:t>Cytokine Growth Factor Rev.</w:t>
      </w:r>
      <w:r w:rsidRPr="00392ED6">
        <w:rPr>
          <w:rFonts w:eastAsia="Calibri"/>
          <w:lang w:val="tr-TR"/>
        </w:rPr>
        <w:t xml:space="preserve"> 15: 297-324.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41. Zachary I. (1998) Molecules in focus VEGF. </w:t>
      </w:r>
      <w:r w:rsidRPr="00392ED6">
        <w:rPr>
          <w:rFonts w:eastAsia="Calibri"/>
          <w:i/>
          <w:lang w:val="tr-TR"/>
        </w:rPr>
        <w:t>J. Biochem. Cell Biol.</w:t>
      </w:r>
      <w:r w:rsidRPr="00392ED6">
        <w:rPr>
          <w:rFonts w:eastAsia="Calibri"/>
          <w:lang w:val="tr-TR"/>
        </w:rPr>
        <w:t xml:space="preserve"> 30: 1169-1174.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42. Wheeler-Jones C, Abu-Ghazaleh R, Cospedal R, Houliston RA, Martin J, Zachary I. (1997) Vascular endothelial growth factor stimulates prostacyclin production and activation of cytosolic phospholipase A2 in endothelial cells via p42/p44 mitogen-activated protein </w:t>
      </w:r>
      <w:proofErr w:type="gramStart"/>
      <w:r w:rsidRPr="00392ED6">
        <w:rPr>
          <w:rFonts w:eastAsia="Calibri"/>
          <w:lang w:val="tr-TR"/>
        </w:rPr>
        <w:t>kinase.</w:t>
      </w:r>
      <w:r w:rsidRPr="00392ED6">
        <w:rPr>
          <w:rFonts w:eastAsia="Calibri"/>
          <w:i/>
          <w:lang w:val="tr-TR"/>
        </w:rPr>
        <w:t>FEBS</w:t>
      </w:r>
      <w:proofErr w:type="gramEnd"/>
      <w:r w:rsidRPr="00392ED6">
        <w:rPr>
          <w:rFonts w:eastAsia="Calibri"/>
          <w:i/>
          <w:lang w:val="tr-TR"/>
        </w:rPr>
        <w:t xml:space="preserve"> Lett. </w:t>
      </w:r>
      <w:r w:rsidRPr="00392ED6">
        <w:rPr>
          <w:rFonts w:eastAsia="Calibri"/>
          <w:lang w:val="tr-TR"/>
        </w:rPr>
        <w:t>420: 28-32.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43. Özcura F, Helvacı MR. Ödem ve neovaskülarizasyonla seyreden hastalıklarda tedavi anti vegf ajanlar. </w:t>
      </w:r>
      <w:r w:rsidRPr="00392ED6">
        <w:rPr>
          <w:rFonts w:eastAsia="Calibri"/>
          <w:i/>
          <w:lang w:val="tr-TR"/>
        </w:rPr>
        <w:t>Türkiye Klinikleri J. Ophthalmol.</w:t>
      </w:r>
      <w:r w:rsidRPr="00392ED6">
        <w:rPr>
          <w:rFonts w:eastAsia="Calibri"/>
          <w:lang w:val="tr-TR"/>
        </w:rPr>
        <w:t xml:space="preserve"> (2006); 15: 132-9.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44. Koch AE, Harlow LA, Haines GK, Amento EP, Unemori EN, Wong </w:t>
      </w:r>
      <w:proofErr w:type="gramStart"/>
      <w:r w:rsidRPr="00392ED6">
        <w:rPr>
          <w:rFonts w:eastAsia="Calibri"/>
          <w:lang w:val="tr-TR"/>
        </w:rPr>
        <w:t>WL,et</w:t>
      </w:r>
      <w:proofErr w:type="gramEnd"/>
      <w:r w:rsidRPr="00392ED6">
        <w:rPr>
          <w:rFonts w:eastAsia="Calibri"/>
          <w:lang w:val="tr-TR"/>
        </w:rPr>
        <w:t xml:space="preserve"> al. (1994) Vascular endothelial growth factor. A cytokine modulating endothelial function in rheumatoid arthritis. </w:t>
      </w:r>
      <w:r w:rsidRPr="00392ED6">
        <w:rPr>
          <w:rFonts w:eastAsia="Calibri"/>
          <w:i/>
          <w:lang w:val="tr-TR"/>
        </w:rPr>
        <w:t xml:space="preserve">J. Immunol. </w:t>
      </w:r>
      <w:r w:rsidRPr="00392ED6">
        <w:rPr>
          <w:rFonts w:eastAsia="Calibri"/>
          <w:lang w:val="tr-TR"/>
        </w:rPr>
        <w:t>152: 4149-4156.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45. Detmar M, Brown LF, Claffey KP, Yeo KT, Kocher O, Jackman RW, et al. (1994) Overexpression of vascular permeability factor/vascular endothelial growthfactor and its receptors in psoriasis. </w:t>
      </w:r>
      <w:r w:rsidRPr="00392ED6">
        <w:rPr>
          <w:rFonts w:eastAsia="Calibri"/>
          <w:i/>
          <w:lang w:val="tr-TR"/>
        </w:rPr>
        <w:t>J. Exp. Med.</w:t>
      </w:r>
      <w:r w:rsidRPr="00392ED6">
        <w:rPr>
          <w:rFonts w:eastAsia="Calibri"/>
          <w:lang w:val="tr-TR"/>
        </w:rPr>
        <w:t xml:space="preserve"> 180: 1141-1146.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46. Kent KC, Mii S, Brown LF, Nagle T, Yannas (1995) IV. Preliminary evaluation of a technique for inhibiting intimal hyperplasia: implantation of a resorbable luminal collagen membrane. </w:t>
      </w:r>
      <w:r w:rsidRPr="00392ED6">
        <w:rPr>
          <w:rFonts w:eastAsia="Calibri"/>
          <w:i/>
          <w:lang w:val="tr-TR"/>
        </w:rPr>
        <w:t>Ann. Vasc. Surg.</w:t>
      </w:r>
      <w:r w:rsidRPr="00392ED6">
        <w:rPr>
          <w:rFonts w:eastAsia="Calibri"/>
          <w:lang w:val="tr-TR"/>
        </w:rPr>
        <w:t xml:space="preserve"> 9: 135-139.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47. Nava E, Luscher TF. (1995) Endothelium-derived vaso-active factors in hypertension: nitric oxide and endothelin. </w:t>
      </w:r>
      <w:r w:rsidRPr="00392ED6">
        <w:rPr>
          <w:rFonts w:eastAsia="Calibri"/>
          <w:i/>
          <w:lang w:val="tr-TR"/>
        </w:rPr>
        <w:t>J. Hypertens.</w:t>
      </w:r>
      <w:r w:rsidRPr="00392ED6">
        <w:rPr>
          <w:rFonts w:eastAsia="Calibri"/>
          <w:lang w:val="tr-TR"/>
        </w:rPr>
        <w:t xml:space="preserve"> 13 (suppl 2): 39-48.</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48. Coşkun U, Gunel N, Sancak </w:t>
      </w:r>
      <w:proofErr w:type="gramStart"/>
      <w:r w:rsidRPr="00392ED6">
        <w:rPr>
          <w:rFonts w:eastAsia="Calibri"/>
          <w:lang w:val="tr-TR"/>
        </w:rPr>
        <w:t>B,</w:t>
      </w:r>
      <w:proofErr w:type="gramEnd"/>
      <w:r w:rsidRPr="00392ED6">
        <w:rPr>
          <w:rFonts w:eastAsia="Calibri"/>
          <w:lang w:val="tr-TR"/>
        </w:rPr>
        <w:t xml:space="preserve"> ve ark. (2003) Significance of serum vaskuler endothelial growth factor, insulin- like growth factor-1 levels and nitric oxide activitiy in breast cancer patients. </w:t>
      </w:r>
      <w:r w:rsidRPr="00392ED6">
        <w:rPr>
          <w:rFonts w:eastAsia="Calibri"/>
          <w:i/>
          <w:lang w:val="tr-TR"/>
        </w:rPr>
        <w:t>Breast.</w:t>
      </w:r>
      <w:r w:rsidRPr="00392ED6">
        <w:rPr>
          <w:rFonts w:eastAsia="Calibri"/>
          <w:lang w:val="tr-TR"/>
        </w:rPr>
        <w:t xml:space="preserve"> 12(2): 104-110.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49. Türk Kardiyoloji Kardiyovasküker Hastalıkların Tedavisinde ADE İnhibitörleri (2004 Nisan) </w:t>
      </w:r>
      <w:proofErr w:type="gramStart"/>
      <w:r w:rsidRPr="00392ED6">
        <w:rPr>
          <w:rFonts w:eastAsia="Calibri"/>
          <w:lang w:val="tr-TR"/>
        </w:rPr>
        <w:t>32:188</w:t>
      </w:r>
      <w:proofErr w:type="gramEnd"/>
      <w:r w:rsidRPr="00392ED6">
        <w:rPr>
          <w:rFonts w:eastAsia="Calibri"/>
          <w:lang w:val="tr-TR"/>
        </w:rPr>
        <w:t>-196.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50. Williams B, et al. (1995) Angiotensin II increases vascular permeability factor gene expression by human vascular smooth muscle cells. </w:t>
      </w:r>
      <w:r w:rsidRPr="00392ED6">
        <w:rPr>
          <w:rFonts w:eastAsia="Calibri"/>
          <w:i/>
          <w:lang w:val="tr-TR"/>
        </w:rPr>
        <w:t>Hypertension.</w:t>
      </w:r>
      <w:r w:rsidRPr="00392ED6">
        <w:rPr>
          <w:rFonts w:eastAsia="Calibri"/>
          <w:lang w:val="tr-TR"/>
        </w:rPr>
        <w:t xml:space="preserve"> </w:t>
      </w:r>
      <w:proofErr w:type="gramStart"/>
      <w:r w:rsidRPr="00392ED6">
        <w:rPr>
          <w:rFonts w:eastAsia="Calibri"/>
          <w:lang w:val="tr-TR"/>
        </w:rPr>
        <w:t>25:913</w:t>
      </w:r>
      <w:proofErr w:type="gramEnd"/>
      <w:r w:rsidRPr="00392ED6">
        <w:rPr>
          <w:rFonts w:eastAsia="Calibri"/>
          <w:lang w:val="tr-TR"/>
        </w:rPr>
        <w:t>-917.</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51. Deshayes F, et al.  (2005) Angiotensin receptors: a new role in cancer? </w:t>
      </w:r>
      <w:r w:rsidRPr="00392ED6">
        <w:rPr>
          <w:rFonts w:eastAsia="Calibri"/>
          <w:i/>
          <w:lang w:val="tr-TR"/>
        </w:rPr>
        <w:t>Trends Endocrinol. Metab.</w:t>
      </w:r>
      <w:r w:rsidRPr="00392ED6">
        <w:rPr>
          <w:rFonts w:eastAsia="Calibri"/>
          <w:lang w:val="tr-TR"/>
        </w:rPr>
        <w:t xml:space="preserve"> </w:t>
      </w:r>
      <w:proofErr w:type="gramStart"/>
      <w:r w:rsidRPr="00392ED6">
        <w:rPr>
          <w:rFonts w:eastAsia="Calibri"/>
          <w:lang w:val="tr-TR"/>
        </w:rPr>
        <w:t>16:293</w:t>
      </w:r>
      <w:proofErr w:type="gramEnd"/>
      <w:r w:rsidRPr="00392ED6">
        <w:rPr>
          <w:rFonts w:eastAsia="Calibri"/>
          <w:lang w:val="tr-TR"/>
        </w:rPr>
        <w:t>-299.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52. A. </w:t>
      </w:r>
      <w:proofErr w:type="gramStart"/>
      <w:r w:rsidRPr="00392ED6">
        <w:rPr>
          <w:rFonts w:eastAsia="Calibri"/>
          <w:lang w:val="tr-TR"/>
        </w:rPr>
        <w:t>Onat ,V</w:t>
      </w:r>
      <w:proofErr w:type="gramEnd"/>
      <w:r w:rsidRPr="00392ED6">
        <w:rPr>
          <w:rFonts w:eastAsia="Calibri"/>
          <w:lang w:val="tr-TR"/>
        </w:rPr>
        <w:t xml:space="preserve">. Sansoy , G . </w:t>
      </w:r>
      <w:proofErr w:type="gramStart"/>
      <w:r w:rsidRPr="00392ED6">
        <w:rPr>
          <w:rFonts w:eastAsia="Calibri"/>
          <w:lang w:val="tr-TR"/>
        </w:rPr>
        <w:t>Hergenç ,İ</w:t>
      </w:r>
      <w:proofErr w:type="gramEnd"/>
      <w:r w:rsidRPr="00392ED6">
        <w:rPr>
          <w:rFonts w:eastAsia="Calibri"/>
          <w:lang w:val="tr-TR"/>
        </w:rPr>
        <w:t>. Soydan ,K .Adalet.T. (2005) Sayfa:60-71.</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53. Touyz RM, et al. (2000) Signal transduction mechanisms mediating the physiological and pathophysiological actions of angiotensin II in vascular smooth muscle cells. </w:t>
      </w:r>
      <w:r w:rsidRPr="00392ED6">
        <w:rPr>
          <w:rFonts w:eastAsia="Calibri"/>
          <w:i/>
          <w:lang w:val="tr-TR"/>
        </w:rPr>
        <w:t>Pharmacol. Rev.</w:t>
      </w:r>
      <w:r w:rsidRPr="00392ED6">
        <w:rPr>
          <w:rFonts w:eastAsia="Calibri"/>
          <w:lang w:val="tr-TR"/>
        </w:rPr>
        <w:t xml:space="preserve"> </w:t>
      </w:r>
      <w:proofErr w:type="gramStart"/>
      <w:r w:rsidRPr="00392ED6">
        <w:rPr>
          <w:rFonts w:eastAsia="Calibri"/>
          <w:lang w:val="tr-TR"/>
        </w:rPr>
        <w:t>52:639</w:t>
      </w:r>
      <w:proofErr w:type="gramEnd"/>
      <w:r w:rsidRPr="00392ED6">
        <w:rPr>
          <w:rFonts w:eastAsia="Calibri"/>
          <w:lang w:val="tr-TR"/>
        </w:rPr>
        <w:t>-672.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54. Tamarat R, et al. (2002) Angiotensin II angiogenic effect in vivo involves vascular endothelial growth factor- and inflammation-related pathways. </w:t>
      </w:r>
      <w:r w:rsidRPr="00392ED6">
        <w:rPr>
          <w:rFonts w:eastAsia="Calibri"/>
          <w:i/>
          <w:lang w:val="tr-TR"/>
        </w:rPr>
        <w:t xml:space="preserve">Lab. Invest. </w:t>
      </w:r>
      <w:proofErr w:type="gramStart"/>
      <w:r w:rsidRPr="00392ED6">
        <w:rPr>
          <w:rFonts w:eastAsia="Calibri"/>
          <w:lang w:val="tr-TR"/>
        </w:rPr>
        <w:t>82:747</w:t>
      </w:r>
      <w:proofErr w:type="gramEnd"/>
      <w:r w:rsidRPr="00392ED6">
        <w:rPr>
          <w:rFonts w:eastAsia="Calibri"/>
          <w:lang w:val="tr-TR"/>
        </w:rPr>
        <w:t>-756.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55. Huang W, et al. (2007) Angiotensin II type 1 receptor </w:t>
      </w:r>
      <w:proofErr w:type="gramStart"/>
      <w:r w:rsidRPr="00392ED6">
        <w:rPr>
          <w:rFonts w:eastAsia="Calibri"/>
          <w:lang w:val="tr-TR"/>
        </w:rPr>
        <w:t>antagonist</w:t>
      </w:r>
      <w:proofErr w:type="gramEnd"/>
      <w:r w:rsidRPr="00392ED6">
        <w:rPr>
          <w:rFonts w:eastAsia="Calibri"/>
          <w:lang w:val="tr-TR"/>
        </w:rPr>
        <w:t xml:space="preserve"> suppress angiogenesis and growth of gastric cancer xenografts. </w:t>
      </w:r>
      <w:r w:rsidRPr="00392ED6">
        <w:rPr>
          <w:rFonts w:eastAsia="Calibri"/>
          <w:i/>
          <w:lang w:val="tr-TR"/>
        </w:rPr>
        <w:t>Dig. Dis.</w:t>
      </w:r>
      <w:r w:rsidRPr="00392ED6">
        <w:rPr>
          <w:rFonts w:eastAsia="Calibri"/>
          <w:lang w:val="tr-TR"/>
        </w:rPr>
        <w:t xml:space="preserve"> </w:t>
      </w:r>
      <w:proofErr w:type="gramStart"/>
      <w:r w:rsidRPr="00392ED6">
        <w:rPr>
          <w:rFonts w:eastAsia="Calibri"/>
          <w:lang w:val="tr-TR"/>
        </w:rPr>
        <w:t>53:1206</w:t>
      </w:r>
      <w:proofErr w:type="gramEnd"/>
      <w:r w:rsidRPr="00392ED6">
        <w:rPr>
          <w:rFonts w:eastAsia="Calibri"/>
          <w:lang w:val="tr-TR"/>
        </w:rPr>
        <w:t>-1210.</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56. Yasumatsu R, et al. (2004) Effects of the angiotensin-I converting enzyme inhibitor perindopril on tumor growth and angiogenesis in head and neck squamous cell carcinoma cells. </w:t>
      </w:r>
      <w:r w:rsidRPr="00392ED6">
        <w:rPr>
          <w:rFonts w:eastAsia="Calibri"/>
          <w:i/>
          <w:lang w:val="tr-TR"/>
        </w:rPr>
        <w:t>J. Cancer Res. Clin. Oncol.</w:t>
      </w:r>
      <w:r w:rsidRPr="00392ED6">
        <w:rPr>
          <w:rFonts w:eastAsia="Calibri"/>
          <w:lang w:val="tr-TR"/>
        </w:rPr>
        <w:t xml:space="preserve"> 130:567-573.</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57. Wysocki PJ, et al. (2006) Captopril, an angiotensin-converting enzyme inhibitor, promotes growth of immunogenic tumors in mice. </w:t>
      </w:r>
      <w:r w:rsidRPr="00392ED6">
        <w:rPr>
          <w:rFonts w:eastAsia="Calibri"/>
          <w:i/>
          <w:lang w:val="tr-TR"/>
        </w:rPr>
        <w:t>Clin. Cancer Res.</w:t>
      </w:r>
      <w:r w:rsidRPr="00392ED6" w:rsidDel="00591B07">
        <w:rPr>
          <w:rFonts w:eastAsia="Calibri"/>
          <w:lang w:val="tr-TR"/>
        </w:rPr>
        <w:t xml:space="preserve"> </w:t>
      </w:r>
      <w:proofErr w:type="gramStart"/>
      <w:r w:rsidRPr="00392ED6">
        <w:rPr>
          <w:rFonts w:eastAsia="Calibri"/>
          <w:lang w:val="tr-TR"/>
        </w:rPr>
        <w:t>22:232</w:t>
      </w:r>
      <w:proofErr w:type="gramEnd"/>
      <w:r w:rsidRPr="00392ED6">
        <w:rPr>
          <w:rFonts w:eastAsia="Calibri"/>
          <w:lang w:val="tr-TR"/>
        </w:rPr>
        <w:t xml:space="preserve">-239.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58. Kosaka T, et al. (2007) Angiotensin II type 1 receptor </w:t>
      </w:r>
      <w:proofErr w:type="gramStart"/>
      <w:r w:rsidRPr="00392ED6">
        <w:rPr>
          <w:rFonts w:eastAsia="Calibri"/>
          <w:lang w:val="tr-TR"/>
        </w:rPr>
        <w:t>antagonist</w:t>
      </w:r>
      <w:proofErr w:type="gramEnd"/>
      <w:r w:rsidRPr="00392ED6">
        <w:rPr>
          <w:rFonts w:eastAsia="Calibri"/>
          <w:lang w:val="tr-TR"/>
        </w:rPr>
        <w:t xml:space="preserve"> as an angiogenic inhibitor in prostate cancer. </w:t>
      </w:r>
      <w:r w:rsidRPr="00392ED6">
        <w:rPr>
          <w:rFonts w:eastAsia="Calibri"/>
          <w:i/>
          <w:lang w:val="tr-TR"/>
        </w:rPr>
        <w:t>Prostate.</w:t>
      </w:r>
      <w:r w:rsidRPr="00392ED6">
        <w:rPr>
          <w:rFonts w:eastAsia="Calibri"/>
          <w:lang w:val="tr-TR"/>
        </w:rPr>
        <w:t xml:space="preserve"> </w:t>
      </w:r>
      <w:proofErr w:type="gramStart"/>
      <w:r w:rsidRPr="00392ED6">
        <w:rPr>
          <w:rFonts w:eastAsia="Calibri"/>
          <w:lang w:val="tr-TR"/>
        </w:rPr>
        <w:t>67:41</w:t>
      </w:r>
      <w:proofErr w:type="gramEnd"/>
      <w:r w:rsidRPr="00392ED6">
        <w:rPr>
          <w:rFonts w:eastAsia="Calibri"/>
          <w:lang w:val="tr-TR"/>
        </w:rPr>
        <w:t>-49.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59. Yaren A, Turgut S, Kursunluoglu R, Oztop I, Turgut G, Kelten C, Erdem E. (2006) Association between the polymorphism of the angiotensin-converting enzyme gene and tumor size of breast cancer in premenopausal patients. </w:t>
      </w:r>
      <w:r w:rsidRPr="00392ED6">
        <w:rPr>
          <w:rFonts w:eastAsia="Calibri"/>
          <w:i/>
          <w:lang w:val="tr-TR"/>
        </w:rPr>
        <w:t>Tohoku J. Exp. Med.</w:t>
      </w:r>
      <w:r w:rsidRPr="00392ED6">
        <w:rPr>
          <w:rFonts w:eastAsia="Calibri"/>
          <w:lang w:val="tr-TR"/>
        </w:rPr>
        <w:t xml:space="preserve"> 210:109-116.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60.Hicklin DJ, Ellis LM. (2005) Role of the vascular endothelial growth factor pathway in tumor growth and angiogenesis. </w:t>
      </w:r>
      <w:r w:rsidRPr="00392ED6">
        <w:rPr>
          <w:rFonts w:eastAsia="Calibri"/>
          <w:i/>
          <w:lang w:val="tr-TR"/>
        </w:rPr>
        <w:t>J.</w:t>
      </w:r>
      <w:proofErr w:type="gramStart"/>
      <w:r w:rsidRPr="00392ED6">
        <w:rPr>
          <w:rFonts w:eastAsia="Calibri"/>
          <w:i/>
          <w:lang w:val="tr-TR"/>
        </w:rPr>
        <w:t>Clin.Oncology</w:t>
      </w:r>
      <w:proofErr w:type="gramEnd"/>
      <w:r w:rsidRPr="00392ED6">
        <w:rPr>
          <w:rFonts w:eastAsia="Calibri"/>
          <w:i/>
          <w:lang w:val="tr-TR"/>
        </w:rPr>
        <w:t>.</w:t>
      </w:r>
      <w:r w:rsidRPr="00392ED6">
        <w:rPr>
          <w:rFonts w:eastAsia="Calibri"/>
          <w:lang w:val="tr-TR"/>
        </w:rPr>
        <w:t xml:space="preserve"> </w:t>
      </w:r>
      <w:proofErr w:type="gramStart"/>
      <w:r w:rsidRPr="00392ED6">
        <w:rPr>
          <w:rFonts w:eastAsia="Calibri"/>
          <w:lang w:val="tr-TR"/>
        </w:rPr>
        <w:t>23:1011</w:t>
      </w:r>
      <w:proofErr w:type="gramEnd"/>
      <w:r w:rsidRPr="00392ED6">
        <w:rPr>
          <w:rFonts w:eastAsia="Calibri"/>
          <w:lang w:val="tr-TR"/>
        </w:rPr>
        <w:t>-1027.</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61.Zangari M, Anaissie E, Stopeck A. et al. (2004) Phase II study of SU5416, a small molecule vascular endothelial growth factor tyrosine kinase receptor inhibitor, in patients with refractory multiple myeloma. </w:t>
      </w:r>
      <w:r w:rsidRPr="00392ED6">
        <w:rPr>
          <w:rFonts w:eastAsia="Calibri"/>
          <w:i/>
          <w:lang w:val="tr-TR"/>
        </w:rPr>
        <w:t>Clin. Cancer Res.</w:t>
      </w:r>
      <w:r w:rsidRPr="00392ED6">
        <w:rPr>
          <w:rFonts w:eastAsia="Calibri"/>
          <w:lang w:val="tr-TR"/>
        </w:rPr>
        <w:t xml:space="preserve"> </w:t>
      </w:r>
      <w:proofErr w:type="gramStart"/>
      <w:r w:rsidRPr="00392ED6">
        <w:rPr>
          <w:rFonts w:eastAsia="Calibri"/>
          <w:lang w:val="tr-TR"/>
        </w:rPr>
        <w:t>10:88</w:t>
      </w:r>
      <w:proofErr w:type="gramEnd"/>
      <w:r w:rsidRPr="00392ED6">
        <w:rPr>
          <w:rFonts w:eastAsia="Calibri"/>
          <w:lang w:val="tr-TR"/>
        </w:rPr>
        <w:t>-95.</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62.Motzer RJ, Hutson TE, Tomczak P. et al. (2007) Sunitinib versus interferon alfa in metastatic renal cell carcinoma. </w:t>
      </w:r>
      <w:r w:rsidRPr="00392ED6">
        <w:rPr>
          <w:rFonts w:eastAsia="Calibri"/>
          <w:i/>
          <w:lang w:val="tr-TR"/>
        </w:rPr>
        <w:t xml:space="preserve">N. </w:t>
      </w:r>
      <w:proofErr w:type="gramStart"/>
      <w:r w:rsidRPr="00392ED6">
        <w:rPr>
          <w:rFonts w:eastAsia="Calibri"/>
          <w:i/>
          <w:lang w:val="tr-TR"/>
        </w:rPr>
        <w:t>Engl.J</w:t>
      </w:r>
      <w:proofErr w:type="gramEnd"/>
      <w:r w:rsidRPr="00392ED6">
        <w:rPr>
          <w:rFonts w:eastAsia="Calibri"/>
          <w:i/>
          <w:lang w:val="tr-TR"/>
        </w:rPr>
        <w:t>.Med.</w:t>
      </w:r>
      <w:r w:rsidRPr="00392ED6" w:rsidDel="00591B07">
        <w:rPr>
          <w:rFonts w:eastAsia="Calibri"/>
          <w:lang w:val="tr-TR"/>
        </w:rPr>
        <w:t xml:space="preserve"> </w:t>
      </w:r>
      <w:r w:rsidRPr="00392ED6">
        <w:rPr>
          <w:rFonts w:eastAsia="Calibri"/>
          <w:lang w:val="tr-TR"/>
        </w:rPr>
        <w:t>356:115-124.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63.Bates D. (2003) ZD-6474. Astra Zeneca. </w:t>
      </w:r>
      <w:r w:rsidRPr="00392ED6">
        <w:rPr>
          <w:rFonts w:eastAsia="Calibri"/>
          <w:i/>
          <w:lang w:val="tr-TR"/>
        </w:rPr>
        <w:t xml:space="preserve">Curr. Opin. </w:t>
      </w:r>
      <w:proofErr w:type="gramStart"/>
      <w:r w:rsidRPr="00392ED6">
        <w:rPr>
          <w:rFonts w:eastAsia="Calibri"/>
          <w:i/>
          <w:lang w:val="tr-TR"/>
        </w:rPr>
        <w:t>Investig.Drugs</w:t>
      </w:r>
      <w:proofErr w:type="gramEnd"/>
      <w:r w:rsidRPr="00392ED6">
        <w:rPr>
          <w:rFonts w:eastAsia="Calibri"/>
          <w:lang w:val="tr-TR"/>
        </w:rPr>
        <w:t xml:space="preserve">. </w:t>
      </w:r>
      <w:proofErr w:type="gramStart"/>
      <w:r w:rsidRPr="00392ED6">
        <w:rPr>
          <w:rFonts w:eastAsia="Calibri"/>
          <w:lang w:val="tr-TR"/>
        </w:rPr>
        <w:t>4:1468</w:t>
      </w:r>
      <w:proofErr w:type="gramEnd"/>
      <w:r w:rsidRPr="00392ED6">
        <w:rPr>
          <w:rFonts w:eastAsia="Calibri"/>
          <w:lang w:val="tr-TR"/>
        </w:rPr>
        <w:t>-1472.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64.Konner J, Dupont J. (2004) Use of soluble recombinant decoy receptor vascular endothelial growth factor trap (VEGF Trap) to inhibit vascular endothelial growth factor activity. </w:t>
      </w:r>
      <w:r w:rsidRPr="00392ED6">
        <w:rPr>
          <w:rFonts w:eastAsia="Calibri"/>
          <w:i/>
          <w:lang w:val="tr-TR"/>
        </w:rPr>
        <w:t>Clin. Colorectal Cancer.</w:t>
      </w:r>
      <w:r w:rsidRPr="00392ED6">
        <w:rPr>
          <w:rFonts w:eastAsia="Calibri"/>
          <w:lang w:val="tr-TR"/>
        </w:rPr>
        <w:t xml:space="preserve"> </w:t>
      </w:r>
      <w:proofErr w:type="gramStart"/>
      <w:r w:rsidRPr="00392ED6">
        <w:rPr>
          <w:rFonts w:eastAsia="Calibri"/>
          <w:lang w:val="tr-TR"/>
        </w:rPr>
        <w:t>4:81</w:t>
      </w:r>
      <w:proofErr w:type="gramEnd"/>
      <w:r w:rsidRPr="00392ED6">
        <w:rPr>
          <w:rFonts w:eastAsia="Calibri"/>
          <w:lang w:val="tr-TR"/>
        </w:rPr>
        <w:t>-85.</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65. Hurwitz H, Fehrenbacher L, Novotny W et al. (2004) Bevacizumab plus irinotecan, fluorouracil, and leucovorin for metastatic colorectal cancer. </w:t>
      </w:r>
      <w:r w:rsidRPr="00392ED6">
        <w:rPr>
          <w:rFonts w:eastAsia="Calibri"/>
          <w:i/>
          <w:lang w:val="tr-TR"/>
        </w:rPr>
        <w:t>N. Engl. J. Med.</w:t>
      </w:r>
      <w:r w:rsidRPr="00392ED6">
        <w:rPr>
          <w:rFonts w:eastAsia="Calibri"/>
          <w:lang w:val="tr-TR"/>
        </w:rPr>
        <w:t xml:space="preserve"> 350(23): 2335-2342.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66. Giantonio BJ, Catalano PJ, Meropol NJ et al. (2007) Bevacizumab in combination with oxaliplatin, fluorouracil, and leucovorin (FOLFOX4) for previously treated metastatic colorectal cancer: results from the Eastern Cooperative Oncology Group Study E3200. </w:t>
      </w:r>
      <w:r w:rsidRPr="00392ED6">
        <w:rPr>
          <w:rFonts w:eastAsia="Calibri"/>
          <w:i/>
          <w:lang w:val="tr-TR"/>
        </w:rPr>
        <w:t xml:space="preserve">J. Clin. Oncol. </w:t>
      </w:r>
      <w:r w:rsidRPr="00392ED6">
        <w:rPr>
          <w:rFonts w:eastAsia="Calibri"/>
          <w:lang w:val="tr-TR"/>
        </w:rPr>
        <w:t xml:space="preserve">25(12), 1539-1544.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67.Kramer I, Lipp HP. (2007) Bevacizumab, a humanized antiangiogenic monoclonal antibody for the treatment of colorectal cancer. </w:t>
      </w:r>
      <w:r w:rsidRPr="00392ED6">
        <w:rPr>
          <w:rFonts w:eastAsia="Calibri"/>
          <w:i/>
          <w:lang w:val="tr-TR"/>
        </w:rPr>
        <w:t>J. Clin. Pahrm.</w:t>
      </w:r>
      <w:r w:rsidRPr="00392ED6">
        <w:rPr>
          <w:rFonts w:eastAsia="Calibri"/>
          <w:lang w:val="tr-TR"/>
        </w:rPr>
        <w:t xml:space="preserve"> Ther. </w:t>
      </w:r>
      <w:proofErr w:type="gramStart"/>
      <w:r w:rsidRPr="00392ED6">
        <w:rPr>
          <w:rFonts w:eastAsia="Calibri"/>
          <w:lang w:val="tr-TR"/>
        </w:rPr>
        <w:t>32:1</w:t>
      </w:r>
      <w:proofErr w:type="gramEnd"/>
      <w:r w:rsidRPr="00392ED6">
        <w:rPr>
          <w:rFonts w:eastAsia="Calibri"/>
          <w:lang w:val="tr-TR"/>
        </w:rPr>
        <w:t>-14.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68.Kim KJ, Li B, Winer J. et al. (1993) Inhibition of vascular endothelial growth factor induced angiogenesis suppresses tumour growth in vivo.</w:t>
      </w:r>
      <w:r w:rsidRPr="00392ED6">
        <w:rPr>
          <w:rFonts w:eastAsia="Calibri"/>
          <w:i/>
          <w:lang w:val="tr-TR"/>
        </w:rPr>
        <w:t xml:space="preserve"> Nature</w:t>
      </w:r>
      <w:r w:rsidRPr="00392ED6">
        <w:rPr>
          <w:rFonts w:eastAsia="Calibri"/>
          <w:lang w:val="tr-TR"/>
        </w:rPr>
        <w:t>. 362:841-844.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69.Warren RS, Yuan H, Matli MR, Gillett NA, Ferrara N. (1995) Regulation by vascular endothelial growth factor of human colon cancer tumorigenesis in a mouse model of experimental liver metastasis. </w:t>
      </w:r>
      <w:r w:rsidRPr="00392ED6">
        <w:rPr>
          <w:rFonts w:eastAsia="Calibri"/>
          <w:i/>
          <w:lang w:val="tr-TR"/>
        </w:rPr>
        <w:t>J. Clin. Invest.</w:t>
      </w:r>
      <w:r w:rsidRPr="00392ED6">
        <w:rPr>
          <w:rFonts w:eastAsia="Calibri"/>
          <w:lang w:val="tr-TR"/>
        </w:rPr>
        <w:t xml:space="preserve"> </w:t>
      </w:r>
      <w:proofErr w:type="gramStart"/>
      <w:r w:rsidRPr="00392ED6">
        <w:rPr>
          <w:rFonts w:eastAsia="Calibri"/>
          <w:lang w:val="tr-TR"/>
        </w:rPr>
        <w:t>95:1789</w:t>
      </w:r>
      <w:proofErr w:type="gramEnd"/>
      <w:r w:rsidRPr="00392ED6">
        <w:rPr>
          <w:rFonts w:eastAsia="Calibri"/>
          <w:lang w:val="tr-TR"/>
        </w:rPr>
        <w:t>-1797.</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70.Wildiers H, Guetens G, De Boeck G et al. (2003) Effect of antivascular endothelial growth factor treatment on the intratumoral uptake of CPT-11. </w:t>
      </w:r>
      <w:r w:rsidRPr="00392ED6">
        <w:rPr>
          <w:rFonts w:eastAsia="Calibri"/>
          <w:i/>
          <w:lang w:val="tr-TR"/>
        </w:rPr>
        <w:t xml:space="preserve">Br. J. Cancer. </w:t>
      </w:r>
      <w:proofErr w:type="gramStart"/>
      <w:r w:rsidRPr="00392ED6">
        <w:rPr>
          <w:rFonts w:eastAsia="Calibri"/>
          <w:lang w:val="tr-TR"/>
        </w:rPr>
        <w:t>88:1979</w:t>
      </w:r>
      <w:proofErr w:type="gramEnd"/>
      <w:r w:rsidRPr="00392ED6">
        <w:rPr>
          <w:rFonts w:eastAsia="Calibri"/>
          <w:lang w:val="tr-TR"/>
        </w:rPr>
        <w:t>-1986.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71. Zhu X, Wu S, Dahut WL, et al. (2007) Risks of proteinuria and hypertension with bevacizumab, an antibody against vascular endothelial growth factor: systematic review and meta-analysis. </w:t>
      </w:r>
      <w:r w:rsidRPr="00392ED6">
        <w:rPr>
          <w:rFonts w:eastAsia="Calibri"/>
          <w:i/>
          <w:lang w:val="tr-TR"/>
        </w:rPr>
        <w:t>Am. J. Kidney. Dis.</w:t>
      </w:r>
      <w:r w:rsidRPr="00392ED6">
        <w:rPr>
          <w:rFonts w:eastAsia="Calibri"/>
          <w:lang w:val="tr-TR"/>
        </w:rPr>
        <w:t xml:space="preserve"> 49 (2): 186-193.</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72. Yang JC, Haworth L, Sherry RM, et al. (2003) A randomized trial of bevacizumab, an anti-vascular endothelial growth factor antibody, for metastatic renal cancer. </w:t>
      </w:r>
      <w:r w:rsidRPr="00392ED6">
        <w:rPr>
          <w:rFonts w:eastAsia="Calibri"/>
          <w:i/>
          <w:lang w:val="tr-TR"/>
        </w:rPr>
        <w:t>N. Engl. J. Med.</w:t>
      </w:r>
      <w:r w:rsidRPr="00392ED6">
        <w:rPr>
          <w:rFonts w:eastAsia="Calibri"/>
          <w:lang w:val="tr-TR"/>
        </w:rPr>
        <w:t xml:space="preserve"> 349 (5): 427-434.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73. Yang R, Thomas GR, Bunting S, et al. (1996) Effects of vascular endothelial growth factor on hemodynamics and cardiac performance. </w:t>
      </w:r>
      <w:r w:rsidRPr="00392ED6">
        <w:rPr>
          <w:rFonts w:eastAsia="Calibri"/>
          <w:i/>
          <w:lang w:val="tr-TR"/>
        </w:rPr>
        <w:t>J. Cardiovasc. Pharmacol.</w:t>
      </w:r>
      <w:r w:rsidRPr="00392ED6">
        <w:rPr>
          <w:rFonts w:eastAsia="Calibri"/>
          <w:lang w:val="tr-TR"/>
        </w:rPr>
        <w:t xml:space="preserve"> 27 (6): 838-844.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74. Neagoe PE, Lemieux C, Sirois MG. (2005) Vascular endothelial growth factor </w:t>
      </w:r>
      <w:proofErr w:type="gramStart"/>
      <w:r w:rsidRPr="00392ED6">
        <w:rPr>
          <w:rFonts w:eastAsia="Calibri"/>
          <w:lang w:val="tr-TR"/>
        </w:rPr>
        <w:t>(</w:t>
      </w:r>
      <w:proofErr w:type="gramEnd"/>
      <w:r w:rsidRPr="00392ED6">
        <w:rPr>
          <w:rFonts w:eastAsia="Calibri"/>
          <w:lang w:val="tr-TR"/>
        </w:rPr>
        <w:t xml:space="preserve">VEGIOAl 65-induced prostacyclin synthesis requires the activation of VEGF receptor-1 and -2 heterodimer. </w:t>
      </w:r>
      <w:r w:rsidRPr="00392ED6">
        <w:rPr>
          <w:rFonts w:eastAsia="Calibri"/>
          <w:i/>
          <w:lang w:val="tr-TR"/>
        </w:rPr>
        <w:t>J. Biol. Chem.</w:t>
      </w:r>
      <w:r w:rsidRPr="00392ED6">
        <w:rPr>
          <w:rFonts w:eastAsia="Calibri"/>
          <w:lang w:val="tr-TR"/>
        </w:rPr>
        <w:t xml:space="preserve"> 280 (11): 9904-9912.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75. Henry TD, Rocha-Singh K, Isner JM, et al. (2001) Intracoronary administration of recombinant human vascular endothelial growth factor to patients with coronary artery disease. </w:t>
      </w:r>
      <w:r w:rsidRPr="00392ED6">
        <w:rPr>
          <w:rFonts w:eastAsia="Calibri"/>
          <w:i/>
          <w:lang w:val="tr-TR"/>
        </w:rPr>
        <w:t>Am. Heart. J.</w:t>
      </w:r>
      <w:r w:rsidRPr="00392ED6">
        <w:rPr>
          <w:rFonts w:eastAsia="Calibri"/>
          <w:lang w:val="tr-TR"/>
        </w:rPr>
        <w:t xml:space="preserve"> 142 (5): 872-880.</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76. Shen BQ, Lee DY, Zioncheck TF. (1999) Vascular endothelial growth factor governs endothelial nitric-oxide synthase expression via a KDR/Flk-1 receptor and a protein kinase C signaling pathway. </w:t>
      </w:r>
      <w:r w:rsidRPr="00392ED6">
        <w:rPr>
          <w:rFonts w:eastAsia="Calibri"/>
          <w:i/>
          <w:lang w:val="tr-TR"/>
        </w:rPr>
        <w:t>J. Biol. Chem.</w:t>
      </w:r>
      <w:r w:rsidRPr="00392ED6">
        <w:rPr>
          <w:rFonts w:eastAsia="Calibri"/>
          <w:lang w:val="tr-TR"/>
        </w:rPr>
        <w:t xml:space="preserve"> 274 (46): 33057-33063.</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77. Steeghs N, Hovens M, Rabelink A. (2006) VEGFR-2 blockade in patients with solid tumours: mechanism of hypertension and effects on vascular function. </w:t>
      </w:r>
      <w:r w:rsidRPr="00392ED6">
        <w:rPr>
          <w:rFonts w:eastAsia="Calibri"/>
          <w:i/>
          <w:lang w:val="tr-TR"/>
        </w:rPr>
        <w:t>J. Clin. Oncol.</w:t>
      </w:r>
      <w:r w:rsidRPr="00392ED6">
        <w:rPr>
          <w:rFonts w:eastAsia="Calibri"/>
          <w:lang w:val="tr-TR"/>
        </w:rPr>
        <w:t xml:space="preserve"> </w:t>
      </w:r>
      <w:proofErr w:type="gramStart"/>
      <w:r w:rsidRPr="00392ED6">
        <w:rPr>
          <w:rFonts w:eastAsia="Calibri"/>
          <w:lang w:val="tr-TR"/>
        </w:rPr>
        <w:t>24:18</w:t>
      </w:r>
      <w:proofErr w:type="gramEnd"/>
      <w:r w:rsidRPr="00392ED6">
        <w:rPr>
          <w:rFonts w:eastAsia="Calibri"/>
          <w:lang w:val="tr-TR"/>
        </w:rPr>
        <w:t>.</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78. Izzedine H, Rixe O, Billemont B, et al. (2007) Angiogenesis inhibitor therapies: focus on kidney toxicity and hypertension. </w:t>
      </w:r>
      <w:r w:rsidRPr="00392ED6">
        <w:rPr>
          <w:rFonts w:eastAsia="Calibri"/>
          <w:i/>
          <w:lang w:val="tr-TR"/>
        </w:rPr>
        <w:t>Am. J. Kidney Dis.</w:t>
      </w:r>
      <w:r w:rsidRPr="00392ED6">
        <w:rPr>
          <w:rFonts w:eastAsia="Calibri"/>
          <w:lang w:val="tr-TR"/>
        </w:rPr>
        <w:t xml:space="preserve"> 50 (2): 203-218.</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79. Miller KD, Chap LI, Holmes FA, et al. (2005) Randomized phase III trial of capecitabine compared with bevacizumab plus capecitabine in patients with previously treated metastatic breast cancer. </w:t>
      </w:r>
      <w:r w:rsidRPr="00392ED6">
        <w:rPr>
          <w:rFonts w:eastAsia="Calibri"/>
          <w:i/>
          <w:lang w:val="tr-TR"/>
        </w:rPr>
        <w:t xml:space="preserve">J. Clin. Oncol. </w:t>
      </w:r>
      <w:r w:rsidRPr="00392ED6">
        <w:rPr>
          <w:rFonts w:eastAsia="Calibri"/>
          <w:lang w:val="tr-TR"/>
        </w:rPr>
        <w:t>23 (4): 792-799.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80. Sugimoto H, Hamano Y, Charytan D, et al. (2003) Neutralization of circulating vascular endothelial growth factor (VEGF) by anti-VEGF antibodies and soluble VEGF receptor 1 (sFlt-1) induces proteinuria. </w:t>
      </w:r>
      <w:r w:rsidRPr="00392ED6">
        <w:rPr>
          <w:rFonts w:eastAsia="Calibri"/>
          <w:i/>
          <w:lang w:val="tr-TR"/>
        </w:rPr>
        <w:t>J. Biol. Chem.</w:t>
      </w:r>
      <w:r w:rsidRPr="00392ED6">
        <w:rPr>
          <w:rFonts w:eastAsia="Calibri"/>
          <w:lang w:val="tr-TR"/>
        </w:rPr>
        <w:t xml:space="preserve"> 278 (15): 12605-12608.</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81. Nadar SK, Karalis I, AI YE, et al. (2005) Plasma markers of angiogenesis in pregnancy induced hypertension. </w:t>
      </w:r>
      <w:r w:rsidRPr="00392ED6">
        <w:rPr>
          <w:rFonts w:eastAsia="Calibri"/>
          <w:i/>
          <w:lang w:val="tr-TR"/>
        </w:rPr>
        <w:t>Thromb. Haemost.</w:t>
      </w:r>
      <w:r w:rsidRPr="00392ED6">
        <w:rPr>
          <w:rFonts w:eastAsia="Calibri"/>
          <w:lang w:val="tr-TR"/>
        </w:rPr>
        <w:t xml:space="preserve"> Nov (5): 1071-1076.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82.Kesmodel SB, Ellis LM, Chang GJ et al. (19-21 January 2007) Complication rates following hepatic surgery in patients receiving neoadjuvant bevacizumab for colorectal cancer liver metastases. American Society of Clinical Oncology Gastrointestinal Cancers Symposium. Orlando FL, USA Abstract 234.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83.Kabbinavar FF, Hambleton J. Mass RD, Hurwitz HI, Bergsland E, Sarkar S. (2005) Combined analysis of efficacy: the addition of bevacizumab to fluorouracil/leucovorin improves survival for patients with metastatic colorectal cancer. </w:t>
      </w:r>
      <w:r w:rsidRPr="00392ED6">
        <w:rPr>
          <w:rFonts w:eastAsia="Calibri"/>
          <w:i/>
          <w:lang w:val="tr-TR"/>
        </w:rPr>
        <w:t>J. Clin. Oncol.</w:t>
      </w:r>
      <w:r w:rsidRPr="00392ED6">
        <w:rPr>
          <w:rFonts w:eastAsia="Calibri"/>
          <w:lang w:val="tr-TR"/>
        </w:rPr>
        <w:t xml:space="preserve"> </w:t>
      </w:r>
      <w:proofErr w:type="gramStart"/>
      <w:r w:rsidRPr="00392ED6">
        <w:rPr>
          <w:rFonts w:eastAsia="Calibri"/>
          <w:lang w:val="tr-TR"/>
        </w:rPr>
        <w:t>23:3706</w:t>
      </w:r>
      <w:proofErr w:type="gramEnd"/>
      <w:r w:rsidRPr="00392ED6">
        <w:rPr>
          <w:rFonts w:eastAsia="Calibri"/>
          <w:lang w:val="tr-TR"/>
        </w:rPr>
        <w:t>-3712.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84.Hurwitz H, Fehrenbacher L, Novotny W. et al. (2004) Bevacizumab plus irinotecan, fluororacil and leucovorin for metastatic colorectal cancer. </w:t>
      </w:r>
      <w:r w:rsidRPr="00392ED6">
        <w:rPr>
          <w:rFonts w:eastAsia="Calibri"/>
          <w:i/>
          <w:lang w:val="tr-TR"/>
        </w:rPr>
        <w:t>N. Engl. J. Med.</w:t>
      </w:r>
      <w:r w:rsidRPr="00392ED6">
        <w:rPr>
          <w:rFonts w:eastAsia="Calibri"/>
          <w:lang w:val="tr-TR"/>
        </w:rPr>
        <w:t xml:space="preserve"> 350:2335-2342.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85.Johnson DH, Fehrenbacher L, Novotny WF. </w:t>
      </w:r>
      <w:proofErr w:type="gramStart"/>
      <w:r w:rsidRPr="00392ED6">
        <w:rPr>
          <w:rFonts w:eastAsia="Calibri"/>
          <w:lang w:val="tr-TR"/>
        </w:rPr>
        <w:t>et</w:t>
      </w:r>
      <w:proofErr w:type="gramEnd"/>
      <w:r w:rsidRPr="00392ED6">
        <w:rPr>
          <w:rFonts w:eastAsia="Calibri"/>
          <w:lang w:val="tr-TR"/>
        </w:rPr>
        <w:t xml:space="preserve"> al. (2004) Randomized phase II trial comparing bevacizumab plus carboplatin and paclitaxel with carboplatin and paclitaxel alone in </w:t>
      </w:r>
      <w:proofErr w:type="gramStart"/>
      <w:r w:rsidRPr="00392ED6">
        <w:rPr>
          <w:rFonts w:eastAsia="Calibri"/>
          <w:lang w:val="tr-TR"/>
        </w:rPr>
        <w:t>previously  untreated</w:t>
      </w:r>
      <w:proofErr w:type="gramEnd"/>
      <w:r w:rsidRPr="00392ED6">
        <w:rPr>
          <w:rFonts w:eastAsia="Calibri"/>
          <w:lang w:val="tr-TR"/>
        </w:rPr>
        <w:t xml:space="preserve"> locally advanced or metastatic non small cell lung cancer. </w:t>
      </w:r>
      <w:r w:rsidRPr="00392ED6">
        <w:rPr>
          <w:rFonts w:eastAsia="Calibri"/>
          <w:i/>
          <w:lang w:val="tr-TR"/>
        </w:rPr>
        <w:t>J. Clin. Oncol.</w:t>
      </w:r>
      <w:r w:rsidRPr="00392ED6" w:rsidDel="00650DB2">
        <w:rPr>
          <w:rFonts w:eastAsia="Calibri"/>
          <w:lang w:val="tr-TR"/>
        </w:rPr>
        <w:t xml:space="preserve"> </w:t>
      </w:r>
      <w:proofErr w:type="gramStart"/>
      <w:r w:rsidRPr="00392ED6">
        <w:rPr>
          <w:rFonts w:eastAsia="Calibri"/>
          <w:lang w:val="tr-TR"/>
        </w:rPr>
        <w:t>22:2184</w:t>
      </w:r>
      <w:proofErr w:type="gramEnd"/>
      <w:r w:rsidRPr="00392ED6">
        <w:rPr>
          <w:rFonts w:eastAsia="Calibri"/>
          <w:lang w:val="tr-TR"/>
        </w:rPr>
        <w:t>-2191.</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86.Skillings J. (2005) Arterial thromboembolic events (ATEs) in a pooled analysis of 5 randomized, controlled trials (RCTs) of bevacizumab (BV) with chemotherapy.  </w:t>
      </w:r>
      <w:r w:rsidRPr="00392ED6">
        <w:rPr>
          <w:rFonts w:eastAsia="Calibri"/>
          <w:i/>
          <w:lang w:val="tr-TR"/>
        </w:rPr>
        <w:t>J. Clin. Oncol.</w:t>
      </w:r>
      <w:r w:rsidRPr="00392ED6">
        <w:rPr>
          <w:rFonts w:eastAsia="Calibri"/>
          <w:lang w:val="tr-TR"/>
        </w:rPr>
        <w:t xml:space="preserve"> ASCO Annual Meeting Proceedings. 23(16S):3019.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87.Glusker P, Recht L, Lane B. (2006) Reversible posterior leukoencephalopathy syndrome and bevacizumab. </w:t>
      </w:r>
      <w:r w:rsidRPr="00392ED6">
        <w:rPr>
          <w:rFonts w:eastAsia="Calibri"/>
          <w:i/>
          <w:lang w:val="tr-TR"/>
        </w:rPr>
        <w:t>N. Engl. J. Med</w:t>
      </w:r>
      <w:r w:rsidRPr="00392ED6">
        <w:rPr>
          <w:rFonts w:eastAsia="Calibri"/>
          <w:lang w:val="tr-TR"/>
        </w:rPr>
        <w:t>. 354:980-982.</w:t>
      </w:r>
    </w:p>
    <w:p w:rsidR="00392ED6" w:rsidRPr="00392ED6" w:rsidRDefault="00392ED6" w:rsidP="00392ED6">
      <w:pPr>
        <w:tabs>
          <w:tab w:val="left" w:pos="5034"/>
        </w:tabs>
        <w:spacing w:after="200" w:line="360" w:lineRule="auto"/>
        <w:jc w:val="both"/>
        <w:rPr>
          <w:rFonts w:eastAsia="Calibri"/>
          <w:color w:val="000000"/>
        </w:rPr>
      </w:pPr>
      <w:r w:rsidRPr="00392ED6">
        <w:rPr>
          <w:rFonts w:eastAsia="Calibri"/>
          <w:color w:val="000000"/>
          <w:lang w:val="tr-TR"/>
        </w:rPr>
        <w:t>88.</w:t>
      </w:r>
      <w:r w:rsidRPr="00392ED6">
        <w:rPr>
          <w:rFonts w:eastAsia="Calibri"/>
          <w:color w:val="000000"/>
        </w:rPr>
        <w:t xml:space="preserve"> Cancer Incidence, Mortality and Prevalence Worldwide in 2008.</w:t>
      </w:r>
    </w:p>
    <w:p w:rsidR="00392ED6" w:rsidRPr="00392ED6" w:rsidRDefault="00392ED6" w:rsidP="00392ED6">
      <w:pPr>
        <w:tabs>
          <w:tab w:val="left" w:pos="5034"/>
        </w:tabs>
        <w:spacing w:after="200" w:line="360" w:lineRule="auto"/>
        <w:jc w:val="both"/>
        <w:rPr>
          <w:rFonts w:eastAsia="Calibri"/>
          <w:color w:val="000000"/>
          <w:lang w:val="tr-TR"/>
        </w:rPr>
      </w:pPr>
      <w:r w:rsidRPr="00392ED6">
        <w:rPr>
          <w:rFonts w:eastAsia="Calibri"/>
          <w:color w:val="000000"/>
          <w:lang w:val="tr-TR"/>
        </w:rPr>
        <w:t>Erişim: http://globocan.iarc.fr/</w:t>
      </w:r>
    </w:p>
    <w:p w:rsidR="00392ED6" w:rsidRPr="00392ED6" w:rsidRDefault="00392ED6" w:rsidP="00392ED6">
      <w:pPr>
        <w:tabs>
          <w:tab w:val="left" w:pos="5034"/>
        </w:tabs>
        <w:spacing w:after="200" w:line="360" w:lineRule="auto"/>
        <w:jc w:val="both"/>
        <w:rPr>
          <w:rFonts w:eastAsia="Calibri"/>
          <w:color w:val="000000"/>
          <w:lang w:val="tr-TR"/>
        </w:rPr>
      </w:pPr>
      <w:r w:rsidRPr="00392ED6">
        <w:rPr>
          <w:rFonts w:eastAsia="Calibri"/>
          <w:color w:val="000000"/>
          <w:lang w:val="tr-TR"/>
        </w:rPr>
        <w:t xml:space="preserve">Erişim Tarihi: </w:t>
      </w:r>
      <w:proofErr w:type="gramStart"/>
      <w:r w:rsidRPr="00392ED6">
        <w:rPr>
          <w:rFonts w:eastAsia="Calibri"/>
          <w:color w:val="000000"/>
          <w:lang w:val="tr-TR"/>
        </w:rPr>
        <w:t>08/12/2011</w:t>
      </w:r>
      <w:proofErr w:type="gramEnd"/>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89. Folkman J. (1971)Tumor angiogenesis: therapeutic implications. </w:t>
      </w:r>
      <w:r w:rsidRPr="00392ED6">
        <w:rPr>
          <w:rFonts w:eastAsia="Calibri"/>
          <w:i/>
          <w:lang w:val="tr-TR"/>
        </w:rPr>
        <w:t>N. Engl. J. Med</w:t>
      </w:r>
      <w:r w:rsidRPr="00392ED6">
        <w:rPr>
          <w:rFonts w:eastAsia="Calibri"/>
          <w:lang w:val="tr-TR"/>
        </w:rPr>
        <w:t>. Nov 18; 285(21):1182-1186.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90. Folkman J. Tumor angiogenesis. (1974) </w:t>
      </w:r>
      <w:r w:rsidRPr="00392ED6">
        <w:rPr>
          <w:rFonts w:eastAsia="Calibri"/>
          <w:i/>
          <w:lang w:val="tr-TR"/>
        </w:rPr>
        <w:t>Adv. Cancer Res</w:t>
      </w:r>
      <w:r w:rsidRPr="00392ED6">
        <w:rPr>
          <w:rFonts w:eastAsia="Calibri"/>
          <w:lang w:val="tr-TR"/>
        </w:rPr>
        <w:t xml:space="preserve">. </w:t>
      </w:r>
      <w:proofErr w:type="gramStart"/>
      <w:r w:rsidRPr="00392ED6">
        <w:rPr>
          <w:rFonts w:eastAsia="Calibri"/>
          <w:lang w:val="tr-TR"/>
        </w:rPr>
        <w:t>19:331</w:t>
      </w:r>
      <w:proofErr w:type="gramEnd"/>
      <w:r w:rsidRPr="00392ED6">
        <w:rPr>
          <w:rFonts w:eastAsia="Calibri"/>
          <w:lang w:val="tr-TR"/>
        </w:rPr>
        <w:t>-358.</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91. Hanahan D, Folkman J. (1996) Patterns and emerging mechanisms of the angiogenic switch during tumorigenesis. </w:t>
      </w:r>
      <w:r w:rsidRPr="00392ED6">
        <w:rPr>
          <w:rFonts w:eastAsia="Calibri"/>
          <w:i/>
          <w:lang w:val="tr-TR"/>
        </w:rPr>
        <w:t>Cell</w:t>
      </w:r>
      <w:r w:rsidRPr="00392ED6">
        <w:rPr>
          <w:rFonts w:eastAsia="Calibri"/>
          <w:lang w:val="tr-TR"/>
        </w:rPr>
        <w:t xml:space="preserve">. </w:t>
      </w:r>
      <w:proofErr w:type="gramStart"/>
      <w:r w:rsidRPr="00392ED6">
        <w:rPr>
          <w:rFonts w:eastAsia="Calibri"/>
          <w:lang w:val="tr-TR"/>
        </w:rPr>
        <w:t>86:353</w:t>
      </w:r>
      <w:proofErr w:type="gramEnd"/>
      <w:r w:rsidRPr="00392ED6">
        <w:rPr>
          <w:rFonts w:eastAsia="Calibri"/>
          <w:lang w:val="tr-TR"/>
        </w:rPr>
        <w:t>-364.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92. Verheul HM, Pinedo HM. (2003) Vascular endothelial growth factor and its inhibitors. </w:t>
      </w:r>
      <w:r w:rsidRPr="00392ED6">
        <w:rPr>
          <w:rFonts w:eastAsia="Calibri"/>
          <w:i/>
          <w:lang w:val="tr-TR"/>
        </w:rPr>
        <w:t>Drugs Today (Barc).</w:t>
      </w:r>
      <w:r w:rsidRPr="00392ED6">
        <w:rPr>
          <w:rFonts w:eastAsia="Calibri"/>
          <w:lang w:val="tr-TR"/>
        </w:rPr>
        <w:t xml:space="preserve"> 39(suppl C):81-93.</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93. Saltz LB, Clarke S, Diaz-Rubio E, et al. (2008) Bevacizumab in combination with oxaliplatin-based chemotherapy as fi rst-line therapy in metastatic colorectal cancer: a randomized phase III study. </w:t>
      </w:r>
      <w:r w:rsidRPr="00392ED6">
        <w:rPr>
          <w:rFonts w:eastAsia="Calibri"/>
          <w:i/>
          <w:lang w:val="tr-TR"/>
        </w:rPr>
        <w:t>J. Clin. Oncol.</w:t>
      </w:r>
      <w:r w:rsidRPr="00392ED6">
        <w:rPr>
          <w:rFonts w:eastAsia="Calibri"/>
          <w:lang w:val="tr-TR"/>
        </w:rPr>
        <w:t xml:space="preserve"> 26: 2013-2019.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94. Grothey A, Hedrick EE, Mass RD, et al. (2008) Response-independent survival benefit in metastatic colorectal cancer: a comparative analysis of N9741 and AVF2107. </w:t>
      </w:r>
      <w:r w:rsidRPr="00392ED6">
        <w:rPr>
          <w:rFonts w:eastAsia="Calibri"/>
          <w:i/>
          <w:lang w:val="tr-TR"/>
        </w:rPr>
        <w:t>J. Clin. Oncol.</w:t>
      </w:r>
      <w:r w:rsidRPr="00392ED6">
        <w:rPr>
          <w:rFonts w:eastAsia="Calibri"/>
          <w:lang w:val="tr-TR"/>
        </w:rPr>
        <w:t xml:space="preserve"> 26: 183-189.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95. Chun YS, Vauthey JN, Boonsirikamchai P, et al. (2009) Association of computed tomography morphologic criteria with pathologic response and survival in patients treated with bevacizumab for colorectal liver metastases. </w:t>
      </w:r>
      <w:r w:rsidRPr="00392ED6">
        <w:rPr>
          <w:rFonts w:eastAsia="Calibri"/>
          <w:i/>
          <w:lang w:val="tr-TR"/>
        </w:rPr>
        <w:t xml:space="preserve">JAMA </w:t>
      </w:r>
      <w:r w:rsidRPr="00392ED6">
        <w:rPr>
          <w:rFonts w:eastAsia="Calibri"/>
          <w:lang w:val="tr-TR"/>
        </w:rPr>
        <w:t>302: 2338-2344.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96. Jubb AM, et al. (2006) Impact of vascular endothelial growth factor-A expression, thrombospondin-2 expression, and microvessel density on the treatment effect of bevacizumab in metastatic colorectal cancer. </w:t>
      </w:r>
      <w:r w:rsidRPr="00392ED6">
        <w:rPr>
          <w:rFonts w:eastAsia="Calibri"/>
          <w:i/>
          <w:lang w:val="tr-TR"/>
        </w:rPr>
        <w:t>J. Clin. Oncol.</w:t>
      </w:r>
      <w:r w:rsidRPr="00392ED6">
        <w:rPr>
          <w:rFonts w:eastAsia="Calibri"/>
          <w:lang w:val="tr-TR"/>
        </w:rPr>
        <w:t xml:space="preserve"> </w:t>
      </w:r>
      <w:proofErr w:type="gramStart"/>
      <w:r w:rsidRPr="00392ED6">
        <w:rPr>
          <w:rFonts w:eastAsia="Calibri"/>
          <w:lang w:val="tr-TR"/>
        </w:rPr>
        <w:t>24:217</w:t>
      </w:r>
      <w:proofErr w:type="gramEnd"/>
      <w:r w:rsidRPr="00392ED6">
        <w:rPr>
          <w:rFonts w:eastAsia="Calibri"/>
          <w:lang w:val="tr-TR"/>
        </w:rPr>
        <w:t>-227.</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97. Garcia AA, Hirte H, Fleming G, Yang D, Tsao-Wei DD, Roman L, Groshen S, Swenson S, Markland F, Gandara D, Scudder S, Morgan R, Chen H, Lenz HJ, Oza AM. (2008) Phase II clinical trial of bevacizumab and low-dose metronomic oral cyclophosphamide in recurrent ovarian cancer: a trial of the California, Chicago, and Princess Margaret Hospital phase II consortia. </w:t>
      </w:r>
      <w:r w:rsidRPr="00392ED6">
        <w:rPr>
          <w:rFonts w:eastAsia="Calibri"/>
          <w:i/>
          <w:lang w:val="tr-TR"/>
        </w:rPr>
        <w:t>J. Clin. Oncol.</w:t>
      </w:r>
      <w:r w:rsidRPr="00392ED6" w:rsidDel="00650DB2">
        <w:rPr>
          <w:rFonts w:eastAsia="Calibri"/>
          <w:lang w:val="tr-TR"/>
        </w:rPr>
        <w:t xml:space="preserve"> </w:t>
      </w:r>
      <w:r w:rsidRPr="00392ED6">
        <w:rPr>
          <w:rFonts w:eastAsia="Calibri"/>
          <w:lang w:val="tr-TR"/>
        </w:rPr>
        <w:t>26: 76-82.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98. Ko AH, Dito E, Schillinger B, Venook AP, Xu Z, Bergsland EK, Wong D, Scott J, Hwang J, Tempero MA.  (2008) A phase II study evaluating bevacizumab in combination with fixed-dose rate gemcitabine and lowdose cisplatin for metastatic pancreatic cancer: is an anti-VEGF strategy still applicable? </w:t>
      </w:r>
      <w:r w:rsidRPr="00392ED6">
        <w:rPr>
          <w:rFonts w:eastAsia="Calibri"/>
          <w:i/>
          <w:lang w:val="tr-TR"/>
        </w:rPr>
        <w:t>Invest. New Drugs.</w:t>
      </w:r>
      <w:r w:rsidRPr="00392ED6">
        <w:rPr>
          <w:rFonts w:eastAsia="Calibri"/>
          <w:lang w:val="tr-TR"/>
        </w:rPr>
        <w:t xml:space="preserve"> 26: 463-471.</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99. Dowlati A, Robertson K, Radivoyevitch T, Waas J, Ziats NP, Hartman P, Abdul-Karim FW, Wasman JK, Jesberger J, Lewin J, McCrae K, Ivy P, Remick SC. (2005) Novel phase I dose de-escalation design trial to determine the biological modulatory dose of the antiangiogenic agent SU5416. </w:t>
      </w:r>
      <w:r w:rsidRPr="00392ED6">
        <w:rPr>
          <w:rFonts w:eastAsia="Calibri"/>
          <w:i/>
          <w:lang w:val="tr-TR"/>
        </w:rPr>
        <w:t>Clin. Cancer. Res.</w:t>
      </w:r>
      <w:r w:rsidRPr="00392ED6" w:rsidDel="00650DB2">
        <w:rPr>
          <w:rFonts w:eastAsia="Calibri"/>
          <w:lang w:val="tr-TR"/>
        </w:rPr>
        <w:t xml:space="preserve"> </w:t>
      </w:r>
      <w:r w:rsidRPr="00392ED6">
        <w:rPr>
          <w:rFonts w:eastAsia="Calibri"/>
          <w:lang w:val="tr-TR"/>
        </w:rPr>
        <w:t>11: 7938-7944.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100. Carrillo-de Santa Pau E, Carrillo Arias F, Caso Pelaez E, et al. (2010) Vascular endothelial growth factor (VEGF) serum levels are associated with survival in early stages of lung cancer patients. </w:t>
      </w:r>
      <w:r w:rsidRPr="00392ED6">
        <w:rPr>
          <w:rFonts w:eastAsia="Calibri"/>
          <w:i/>
          <w:lang w:val="tr-TR"/>
        </w:rPr>
        <w:t>Cancer Invest.</w:t>
      </w:r>
      <w:r w:rsidRPr="00392ED6">
        <w:rPr>
          <w:rFonts w:eastAsia="Calibri"/>
          <w:lang w:val="tr-TR"/>
        </w:rPr>
        <w:t xml:space="preserve"> 28: 393-98.</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101. Bernaards C, Hegde P, Chen D, et al. (2010) Circulating vascular endothelial growth factor (VEGF) as a biomarker for bevacizumab based therapy in metastatic colorectal, non-small cell lung, and renal cell cancers: Analysis of phase III studies. </w:t>
      </w:r>
      <w:r w:rsidRPr="00392ED6">
        <w:rPr>
          <w:rFonts w:eastAsia="Calibri"/>
          <w:i/>
          <w:lang w:val="tr-TR"/>
        </w:rPr>
        <w:t>J. Clin. Oncol.</w:t>
      </w:r>
      <w:r w:rsidRPr="00392ED6">
        <w:rPr>
          <w:rFonts w:eastAsia="Calibri"/>
          <w:lang w:val="tr-TR"/>
        </w:rPr>
        <w:t xml:space="preserve"> 28.</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102. M.P. Smerdel, K.D. Steffensen, M. Waldstrøm, I. Brandslund, A. Jakobsen. (2010) The predictive value of serum VEGF in multiresistant ovarian cancer patients treated with bevacizumab. </w:t>
      </w:r>
      <w:r w:rsidRPr="00392ED6">
        <w:rPr>
          <w:rFonts w:eastAsia="Calibri"/>
          <w:i/>
          <w:lang w:val="tr-TR"/>
        </w:rPr>
        <w:t>Gynecologic Oncology.</w:t>
      </w:r>
      <w:r w:rsidRPr="00392ED6">
        <w:rPr>
          <w:rFonts w:eastAsia="Calibri"/>
          <w:lang w:val="tr-TR"/>
        </w:rPr>
        <w:t xml:space="preserve"> 118:167-171.</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103. Willett CG, Duda DG, di Tomaso E, et al. (2009) Effi cacy, safety, and biomarkers of neoadjuvant bevacizumab, radiation therapy, and fluorouracil in rectal cancer: a multidisciplinary phase II study. </w:t>
      </w:r>
      <w:r w:rsidRPr="00392ED6">
        <w:rPr>
          <w:rFonts w:eastAsia="Calibri"/>
          <w:i/>
          <w:lang w:val="tr-TR"/>
        </w:rPr>
        <w:t>J. Clin. Oncol.</w:t>
      </w:r>
      <w:r w:rsidRPr="00392ED6">
        <w:rPr>
          <w:rFonts w:eastAsia="Calibri"/>
          <w:lang w:val="tr-TR"/>
        </w:rPr>
        <w:t xml:space="preserve"> 27: 3020-3026.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104. Lu JF, Bruno R, Eppler S, Novotny W, Lum B, Gaudreault J. (2008) Clinical pharmacokinetics of bevacizumab in patients with solid tumors. </w:t>
      </w:r>
      <w:r w:rsidRPr="00392ED6">
        <w:rPr>
          <w:rFonts w:eastAsia="Calibri"/>
          <w:i/>
          <w:lang w:val="tr-TR"/>
        </w:rPr>
        <w:t>Cancer Chemother. Pharmacol</w:t>
      </w:r>
      <w:r w:rsidRPr="00392ED6">
        <w:rPr>
          <w:rFonts w:eastAsia="Calibri"/>
          <w:lang w:val="tr-TR"/>
        </w:rPr>
        <w:t>. 62: 779-786.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105. Loupakis F, Falcone A, Masi G, et al. (2007) Vascular endothelial growth factor levels in immunodepleted plasma of cancer patients as a possible pharmacodynamic marker for bevacizumab activity. </w:t>
      </w:r>
      <w:r w:rsidRPr="00392ED6">
        <w:rPr>
          <w:rFonts w:eastAsia="Calibri"/>
          <w:i/>
          <w:lang w:val="tr-TR"/>
        </w:rPr>
        <w:t>J. Clin. Oncol.</w:t>
      </w:r>
      <w:r w:rsidRPr="00392ED6">
        <w:rPr>
          <w:rFonts w:eastAsia="Calibri"/>
          <w:lang w:val="tr-TR"/>
        </w:rPr>
        <w:t xml:space="preserve"> 25: 1816-1818.</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106. Zahiragic L, Schliemann C, Bieker R, et al. (2007) Bevacizumab reduces VEGF expression in patients with relapsed and refractory acute myeloid leukemia without clinical antileukemic activity. </w:t>
      </w:r>
      <w:r w:rsidRPr="00392ED6">
        <w:rPr>
          <w:rFonts w:eastAsia="Calibri"/>
          <w:i/>
          <w:lang w:val="tr-TR"/>
        </w:rPr>
        <w:t>Leukemia</w:t>
      </w:r>
      <w:r w:rsidRPr="00392ED6">
        <w:rPr>
          <w:rFonts w:eastAsia="Calibri"/>
          <w:lang w:val="tr-TR"/>
        </w:rPr>
        <w:t xml:space="preserve"> 21: 1310-1312.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107. Maria Luisa Veronese, Ari Mosenkis, Keith T. Flaherty, Maryann Gallagher, James P. Stevenson, Raymond R. Townsend, and Peter J. O’Dwyer. (2006) Mechanisms of Hypertension Associated With BAY 43-9006.  </w:t>
      </w:r>
      <w:r w:rsidRPr="00392ED6">
        <w:rPr>
          <w:rFonts w:eastAsia="Calibri"/>
          <w:i/>
          <w:lang w:val="tr-TR"/>
        </w:rPr>
        <w:t>J. Clin. Oncol.</w:t>
      </w:r>
      <w:r w:rsidRPr="00392ED6">
        <w:rPr>
          <w:rFonts w:eastAsia="Calibri"/>
          <w:lang w:val="tr-TR"/>
        </w:rPr>
        <w:t xml:space="preserve"> </w:t>
      </w:r>
      <w:proofErr w:type="gramStart"/>
      <w:r w:rsidRPr="00392ED6">
        <w:rPr>
          <w:rFonts w:eastAsia="Calibri"/>
          <w:lang w:val="tr-TR"/>
        </w:rPr>
        <w:t>24:1363</w:t>
      </w:r>
      <w:proofErr w:type="gramEnd"/>
      <w:r w:rsidRPr="00392ED6">
        <w:rPr>
          <w:rFonts w:eastAsia="Calibri"/>
          <w:lang w:val="tr-TR"/>
        </w:rPr>
        <w:t>-1369.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108. Batchelor TT, et al. (2007) AZD2171, a pan-VEGF receptor tyrosine kinase inhibitor, normalizes tumor vasculature and alleviates edema in glioblastoma patients. </w:t>
      </w:r>
      <w:r w:rsidRPr="00392ED6">
        <w:rPr>
          <w:rFonts w:eastAsia="Calibri"/>
          <w:i/>
          <w:lang w:val="tr-TR"/>
        </w:rPr>
        <w:t>Cancer Cell</w:t>
      </w:r>
      <w:r w:rsidRPr="00392ED6">
        <w:rPr>
          <w:rFonts w:eastAsia="Calibri"/>
          <w:lang w:val="tr-TR"/>
        </w:rPr>
        <w:t xml:space="preserve"> </w:t>
      </w:r>
      <w:proofErr w:type="gramStart"/>
      <w:r w:rsidRPr="00392ED6">
        <w:rPr>
          <w:rFonts w:eastAsia="Calibri"/>
          <w:lang w:val="tr-TR"/>
        </w:rPr>
        <w:t>11:83</w:t>
      </w:r>
      <w:proofErr w:type="gramEnd"/>
      <w:r w:rsidRPr="00392ED6">
        <w:rPr>
          <w:rFonts w:eastAsia="Calibri"/>
          <w:lang w:val="tr-TR"/>
        </w:rPr>
        <w:t>-95.</w:t>
      </w:r>
    </w:p>
    <w:p w:rsidR="00392ED6" w:rsidRPr="00392ED6" w:rsidRDefault="00392ED6" w:rsidP="00392ED6">
      <w:pPr>
        <w:tabs>
          <w:tab w:val="left" w:pos="5034"/>
        </w:tabs>
        <w:spacing w:after="200" w:line="360" w:lineRule="auto"/>
        <w:jc w:val="both"/>
        <w:rPr>
          <w:rFonts w:eastAsia="Calibri"/>
          <w:i/>
          <w:lang w:val="tr-TR"/>
        </w:rPr>
      </w:pPr>
      <w:r w:rsidRPr="00392ED6">
        <w:rPr>
          <w:rFonts w:eastAsia="Calibri"/>
          <w:lang w:val="tr-TR"/>
        </w:rPr>
        <w:lastRenderedPageBreak/>
        <w:t xml:space="preserve">109. Willett CG, et al. (2009) Efficacy, safety and biomarkers of neoadjuvant bevacizumab, radiation therapy and 5-Fluorouracil in rectal cancer: a multidisciplinary phase II study. </w:t>
      </w:r>
      <w:r w:rsidRPr="00392ED6">
        <w:rPr>
          <w:rFonts w:eastAsia="Calibri"/>
          <w:i/>
          <w:lang w:val="tr-TR"/>
        </w:rPr>
        <w:t xml:space="preserve">J. Clin. Oncol. </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110. Rini BI, et al. (2008) Antitumor activity and biomarker analysis of sunitinib in patients with bevacizumabrefractory metastatic renal cell carcinoma. </w:t>
      </w:r>
      <w:r w:rsidRPr="00392ED6">
        <w:rPr>
          <w:rFonts w:eastAsia="Calibri"/>
          <w:i/>
          <w:lang w:val="tr-TR"/>
        </w:rPr>
        <w:t>J. Clin. Oncol.</w:t>
      </w:r>
      <w:r w:rsidRPr="00392ED6">
        <w:rPr>
          <w:rFonts w:eastAsia="Calibri"/>
          <w:lang w:val="tr-TR"/>
        </w:rPr>
        <w:t xml:space="preserve"> </w:t>
      </w:r>
      <w:proofErr w:type="gramStart"/>
      <w:r w:rsidRPr="00392ED6">
        <w:rPr>
          <w:rFonts w:eastAsia="Calibri"/>
          <w:lang w:val="tr-TR"/>
        </w:rPr>
        <w:t>26:3743</w:t>
      </w:r>
      <w:proofErr w:type="gramEnd"/>
      <w:r w:rsidRPr="00392ED6">
        <w:rPr>
          <w:rFonts w:eastAsia="Calibri"/>
          <w:lang w:val="tr-TR"/>
        </w:rPr>
        <w:t>-3748.</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111. Henry TD, Rocha-Singh K, Isner JM, et al. (2001) Intracoronary administration of recombinant human vascular endothelial growth factor to patients with coronary artery disease. </w:t>
      </w:r>
      <w:r w:rsidRPr="00392ED6">
        <w:rPr>
          <w:rFonts w:eastAsia="Calibri"/>
          <w:i/>
          <w:lang w:val="tr-TR"/>
        </w:rPr>
        <w:t>Am. Heart. J.</w:t>
      </w:r>
      <w:r w:rsidRPr="00392ED6">
        <w:rPr>
          <w:rFonts w:eastAsia="Calibri"/>
          <w:lang w:val="tr-TR"/>
        </w:rPr>
        <w:t xml:space="preserve"> 142 (5): 872-880.</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112. Horowitz JR, Rivard A, van der Zee R, Hariawala M, Sheriff DD, Esakof DD, Chaudhry GM, Symes JF, Isner JM. (1997) Vascular endothelial growth factor/vascular permeability factor produces nitric oxide-dependent hypotension. Evidence for a maintenance role in quiescent adult endothelium. </w:t>
      </w:r>
      <w:r w:rsidRPr="00392ED6">
        <w:rPr>
          <w:rFonts w:eastAsia="Calibri"/>
          <w:i/>
          <w:lang w:val="tr-TR"/>
        </w:rPr>
        <w:t>Arterioscler. Thromb. Vasc. Biol.</w:t>
      </w:r>
      <w:r w:rsidRPr="00392ED6" w:rsidDel="00650DB2">
        <w:rPr>
          <w:rFonts w:eastAsia="Calibri"/>
          <w:lang w:val="tr-TR"/>
        </w:rPr>
        <w:t xml:space="preserve"> </w:t>
      </w:r>
      <w:r w:rsidRPr="00392ED6">
        <w:rPr>
          <w:rFonts w:eastAsia="Calibri"/>
          <w:lang w:val="tr-TR"/>
        </w:rPr>
        <w:t>17: 2793-2800.</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113. Maitland ML, Kasza KE, Karrison T, Moshier K, Sit L, Black HR, Undevia SD, Stadler WM, Elliott WJ, Ratain MJ. (2009) Ambulatory monitoring detects sorafenib-induced blood pressure elevations on the first day of treatment. Clin. Cancer. Res. </w:t>
      </w:r>
      <w:proofErr w:type="gramStart"/>
      <w:r w:rsidRPr="00392ED6">
        <w:rPr>
          <w:rFonts w:eastAsia="Calibri"/>
          <w:lang w:val="tr-TR"/>
        </w:rPr>
        <w:t>15:6250</w:t>
      </w:r>
      <w:proofErr w:type="gramEnd"/>
      <w:r w:rsidRPr="00392ED6">
        <w:rPr>
          <w:rFonts w:eastAsia="Calibri"/>
          <w:lang w:val="tr-TR"/>
        </w:rPr>
        <w:t>-6257.</w:t>
      </w:r>
      <w:r w:rsidRPr="00392ED6">
        <w:rPr>
          <w:rFonts w:eastAsia="Calibri"/>
          <w:lang w:val="tr-TR"/>
        </w:rPr>
        <w:cr/>
        <w:t xml:space="preserve">114. Wang Y, Fei D, Vanderlaan M, Song A. (2004)Biological activity of bevacizumab, a humanized anti-VEGF antibody in vitro. </w:t>
      </w:r>
      <w:r w:rsidRPr="00392ED6">
        <w:rPr>
          <w:rFonts w:eastAsia="Calibri"/>
          <w:i/>
          <w:lang w:val="tr-TR"/>
        </w:rPr>
        <w:t>Angiogenesis.</w:t>
      </w:r>
      <w:r w:rsidRPr="00392ED6">
        <w:rPr>
          <w:rFonts w:eastAsia="Calibri"/>
          <w:lang w:val="tr-TR"/>
        </w:rPr>
        <w:t xml:space="preserve"> 7(4):335-345.</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115. Sasaki S, Siragy HM, Gildea JJ, Felder RA, Carey RM. (2004) Production and role of extracellular guanosine cyclic </w:t>
      </w:r>
      <w:proofErr w:type="gramStart"/>
      <w:r w:rsidRPr="00392ED6">
        <w:rPr>
          <w:rFonts w:eastAsia="Calibri"/>
          <w:lang w:val="tr-TR"/>
        </w:rPr>
        <w:t>3 , 5</w:t>
      </w:r>
      <w:proofErr w:type="gramEnd"/>
      <w:r w:rsidRPr="00392ED6">
        <w:rPr>
          <w:rFonts w:eastAsia="Calibri"/>
          <w:lang w:val="tr-TR"/>
        </w:rPr>
        <w:t xml:space="preserve">  monophosphate in sodium uptake in human proximal tubule cells. </w:t>
      </w:r>
      <w:r w:rsidRPr="00392ED6">
        <w:rPr>
          <w:rFonts w:eastAsia="Calibri"/>
          <w:i/>
          <w:lang w:val="tr-TR"/>
        </w:rPr>
        <w:t>Hypertension.</w:t>
      </w:r>
      <w:r w:rsidRPr="00392ED6">
        <w:rPr>
          <w:rFonts w:eastAsia="Calibri"/>
          <w:lang w:val="tr-TR"/>
        </w:rPr>
        <w:t xml:space="preserve"> </w:t>
      </w:r>
      <w:proofErr w:type="gramStart"/>
      <w:r w:rsidRPr="00392ED6">
        <w:rPr>
          <w:rFonts w:eastAsia="Calibri"/>
          <w:lang w:val="tr-TR"/>
        </w:rPr>
        <w:t>43:286</w:t>
      </w:r>
      <w:proofErr w:type="gramEnd"/>
      <w:r w:rsidRPr="00392ED6">
        <w:rPr>
          <w:rFonts w:eastAsia="Calibri"/>
          <w:lang w:val="tr-TR"/>
        </w:rPr>
        <w:t>-291.</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116. Facemire CS, Nixon AB, Griffiths R, Hurwitz H, Coffman TM. (2009) Vascular Endothelial Growth Factor Receptor 2 Controls Blood Pressure by Regulating Nitric Oxide Synthase Expression. </w:t>
      </w:r>
      <w:r w:rsidRPr="00392ED6">
        <w:rPr>
          <w:rFonts w:eastAsia="Calibri"/>
          <w:i/>
          <w:lang w:val="tr-TR"/>
        </w:rPr>
        <w:t>Hypertension.</w:t>
      </w:r>
      <w:r w:rsidRPr="00392ED6">
        <w:rPr>
          <w:rFonts w:eastAsia="Calibri"/>
          <w:lang w:val="tr-TR"/>
        </w:rPr>
        <w:t xml:space="preserve"> </w:t>
      </w:r>
      <w:proofErr w:type="gramStart"/>
      <w:r w:rsidRPr="00392ED6">
        <w:rPr>
          <w:rFonts w:eastAsia="Calibri"/>
          <w:lang w:val="tr-TR"/>
        </w:rPr>
        <w:t>21:86</w:t>
      </w:r>
      <w:proofErr w:type="gramEnd"/>
      <w:r w:rsidRPr="00392ED6">
        <w:rPr>
          <w:rFonts w:eastAsia="Calibri"/>
          <w:lang w:val="tr-TR"/>
        </w:rPr>
        <w:t>-94.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117. Veronese ML, Mosenkis A, Flaherty KT, Gallagher M, Stevenson JP, Townsend RR, et al. (2006)Mechanisms of hypertension associated with BAY 43-9006. </w:t>
      </w:r>
      <w:r w:rsidRPr="00392ED6">
        <w:rPr>
          <w:rFonts w:eastAsia="Calibri"/>
          <w:i/>
          <w:lang w:val="tr-TR"/>
        </w:rPr>
        <w:t>J. Clin. Oncol.</w:t>
      </w:r>
      <w:r w:rsidRPr="00392ED6">
        <w:rPr>
          <w:rFonts w:eastAsia="Calibri"/>
          <w:lang w:val="tr-TR"/>
        </w:rPr>
        <w:t xml:space="preserve"> 24(9):1363-1369.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118. Robinson E, Matulonis UA, Ivy P, Berlin ST, Tyburski K, Penson RT, Humphreys BD. (2010) Rapid development of hypertension and proteinuria with cediranib, an oral vascular endothelial growth factor inhibitor. </w:t>
      </w:r>
      <w:r w:rsidRPr="00392ED6">
        <w:rPr>
          <w:rFonts w:eastAsia="Calibri"/>
          <w:i/>
          <w:lang w:val="tr-TR"/>
        </w:rPr>
        <w:t>Clin. J. Am. Soc. Nephrol.</w:t>
      </w:r>
      <w:r w:rsidRPr="00392ED6">
        <w:rPr>
          <w:rFonts w:eastAsia="Calibri"/>
          <w:lang w:val="tr-TR"/>
        </w:rPr>
        <w:t xml:space="preserve"> </w:t>
      </w:r>
      <w:proofErr w:type="gramStart"/>
      <w:r w:rsidRPr="00392ED6">
        <w:rPr>
          <w:rFonts w:eastAsia="Calibri"/>
          <w:lang w:val="tr-TR"/>
        </w:rPr>
        <w:t>56:256</w:t>
      </w:r>
      <w:proofErr w:type="gramEnd"/>
      <w:r w:rsidRPr="00392ED6">
        <w:rPr>
          <w:rFonts w:eastAsia="Calibri"/>
          <w:lang w:val="tr-TR"/>
        </w:rPr>
        <w:t>-262.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lastRenderedPageBreak/>
        <w:t xml:space="preserve">119. Pande A. (2006) Bevacizumab induced hypertension: a manageable toxicity. </w:t>
      </w:r>
      <w:r w:rsidRPr="00392ED6">
        <w:rPr>
          <w:rFonts w:eastAsia="Calibri"/>
          <w:i/>
          <w:lang w:val="tr-TR"/>
        </w:rPr>
        <w:t>J. Clin. Oncol.</w:t>
      </w:r>
      <w:r w:rsidRPr="00392ED6">
        <w:rPr>
          <w:rFonts w:eastAsia="Calibri"/>
          <w:lang w:val="tr-TR"/>
        </w:rPr>
        <w:t xml:space="preserve"> ASCO Annual Meeting Proceedings (Post-Meeting Edition) </w:t>
      </w:r>
      <w:proofErr w:type="gramStart"/>
      <w:r w:rsidRPr="00392ED6">
        <w:rPr>
          <w:rFonts w:eastAsia="Calibri"/>
          <w:lang w:val="tr-TR"/>
        </w:rPr>
        <w:t>24:242</w:t>
      </w:r>
      <w:proofErr w:type="gramEnd"/>
      <w:r w:rsidRPr="00392ED6">
        <w:rPr>
          <w:rFonts w:eastAsia="Calibri"/>
          <w:lang w:val="tr-TR"/>
        </w:rPr>
        <w:t>.</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120.Kozloff M, Hainsworth J, Badarinath S. (19-21 January 2007) Survival of patients with mCRC treated with bevacizumab in combination with chemotherapy: results from the BRİTE registry. American Society of Clinical Oncology Gastrointestinal Cancers Symposium. Orlando, FL, USA Abstract 364.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121. Suzanne E. Dahlberg, Alan B. Sandler, Julie R. Brahmer, Joan H. Schiller, and David H. Johnson. (2010) Clinical Course of Advanced Non–Small-Cell Lung Cancer Patients Experiencing Hypertension During Treatment With Bevacizumab in Combination With Carboplatin and Paclitaxel on ECOG 4599. </w:t>
      </w:r>
      <w:r w:rsidRPr="00392ED6">
        <w:rPr>
          <w:rFonts w:eastAsia="Calibri"/>
          <w:i/>
          <w:lang w:val="tr-TR"/>
        </w:rPr>
        <w:t>J. Clin. Oncol.</w:t>
      </w:r>
      <w:r w:rsidRPr="00392ED6">
        <w:rPr>
          <w:rFonts w:eastAsia="Calibri"/>
          <w:lang w:val="tr-TR"/>
        </w:rPr>
        <w:t xml:space="preserve"> </w:t>
      </w:r>
      <w:proofErr w:type="gramStart"/>
      <w:r w:rsidRPr="00392ED6">
        <w:rPr>
          <w:rFonts w:eastAsia="Calibri"/>
          <w:lang w:val="tr-TR"/>
        </w:rPr>
        <w:t>28:949</w:t>
      </w:r>
      <w:proofErr w:type="gramEnd"/>
      <w:r w:rsidRPr="00392ED6">
        <w:rPr>
          <w:rFonts w:eastAsia="Calibri"/>
          <w:lang w:val="tr-TR"/>
        </w:rPr>
        <w:t>-954.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122. P. Bono1, H. Elfving, T. Utriainen, P. O¨ sterlund, T. Saarto, T. Alanko1 &amp; H. Joensuu. (2009) Hypertension and clinical benefit of bevacizumab in the treatment of advanced renal cell carcinoma. </w:t>
      </w:r>
      <w:r w:rsidRPr="00392ED6">
        <w:rPr>
          <w:rFonts w:eastAsia="Calibri"/>
          <w:i/>
          <w:lang w:val="tr-TR"/>
        </w:rPr>
        <w:t>Annals of Oncology.</w:t>
      </w:r>
      <w:r w:rsidRPr="00392ED6" w:rsidDel="00566A88">
        <w:rPr>
          <w:rFonts w:eastAsia="Calibri"/>
          <w:lang w:val="tr-TR"/>
        </w:rPr>
        <w:t xml:space="preserve"> </w:t>
      </w:r>
      <w:proofErr w:type="gramStart"/>
      <w:r w:rsidRPr="00392ED6">
        <w:rPr>
          <w:rFonts w:eastAsia="Calibri"/>
          <w:lang w:val="tr-TR"/>
        </w:rPr>
        <w:t>20:393</w:t>
      </w:r>
      <w:proofErr w:type="gramEnd"/>
      <w:r w:rsidRPr="00392ED6">
        <w:rPr>
          <w:rFonts w:eastAsia="Calibri"/>
          <w:lang w:val="tr-TR"/>
        </w:rPr>
        <w:t>-394.</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123. Friberg G, Kasza K, Vokes EE, Kindler HL. (2005) Early hypertension as a potential pharmacodynamic marker for survival in pancreatic cancer patients treated with bevacizumab and gemcitabine. </w:t>
      </w:r>
      <w:r w:rsidRPr="00392ED6">
        <w:rPr>
          <w:rFonts w:eastAsia="Calibri"/>
          <w:i/>
          <w:lang w:val="tr-TR"/>
        </w:rPr>
        <w:t>J. Clin. Oncol.</w:t>
      </w:r>
      <w:r w:rsidRPr="00392ED6">
        <w:rPr>
          <w:rFonts w:eastAsia="Calibri"/>
          <w:lang w:val="tr-TR"/>
        </w:rPr>
        <w:t xml:space="preserve"> </w:t>
      </w:r>
      <w:proofErr w:type="gramStart"/>
      <w:r w:rsidRPr="00392ED6">
        <w:rPr>
          <w:rFonts w:eastAsia="Calibri"/>
          <w:lang w:val="tr-TR"/>
        </w:rPr>
        <w:t>23:16</w:t>
      </w:r>
      <w:proofErr w:type="gramEnd"/>
      <w:r w:rsidRPr="00392ED6">
        <w:rPr>
          <w:rFonts w:eastAsia="Calibri"/>
          <w:lang w:val="tr-TR"/>
        </w:rPr>
        <w:t>.</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124. Brian I. Rini, Darrel P. Cohen, Dongrui R. Lu, Isan Chen, Subramanian Hariharan, Martin E. Gore, Robert A. Figlin, Michael S. Baum, Robert J. Motzer. (2011) Hypertension as a Biomarker of Efficacy in Patients With Metastatic Renal Cell Carcinoma Treated With Sunitinib. </w:t>
      </w:r>
      <w:proofErr w:type="gramStart"/>
      <w:r w:rsidRPr="00392ED6">
        <w:rPr>
          <w:rFonts w:eastAsia="Calibri"/>
          <w:i/>
          <w:lang w:val="tr-TR"/>
        </w:rPr>
        <w:t>Jnci.oxfordjournals</w:t>
      </w:r>
      <w:proofErr w:type="gramEnd"/>
      <w:r w:rsidRPr="00392ED6">
        <w:rPr>
          <w:rFonts w:eastAsia="Calibri"/>
          <w:i/>
          <w:lang w:val="tr-TR"/>
        </w:rPr>
        <w:t>.</w:t>
      </w:r>
      <w:r w:rsidRPr="00392ED6">
        <w:rPr>
          <w:rFonts w:eastAsia="Calibri"/>
          <w:lang w:val="tr-TR"/>
        </w:rPr>
        <w:t xml:space="preserve"> 103:763-773.</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125. Rini BI, Schiller JH, Fruehauf JP, et al. (2008)Association of diastolic blood pressure (dBP)&gt; 90 mmHg with overall survival (OS) in patients treated with axitinib (AG-013736). </w:t>
      </w:r>
      <w:r w:rsidRPr="00392ED6">
        <w:rPr>
          <w:rFonts w:eastAsia="Calibri"/>
          <w:i/>
          <w:lang w:val="tr-TR"/>
        </w:rPr>
        <w:t>J. Clin. Oncol.</w:t>
      </w:r>
      <w:r w:rsidRPr="00392ED6">
        <w:rPr>
          <w:rFonts w:eastAsia="Calibri"/>
          <w:lang w:val="tr-TR"/>
        </w:rPr>
        <w:t xml:space="preserve"> 26.</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126. Benjamin D. Humphreys and Michael B. Atkins. (2009) Rapid Development of Hypertension by Sorafenib: Toxicity or Target? </w:t>
      </w:r>
      <w:r w:rsidRPr="00392ED6">
        <w:rPr>
          <w:rFonts w:eastAsia="Calibri"/>
          <w:i/>
          <w:lang w:val="tr-TR"/>
        </w:rPr>
        <w:t>Clin. Cancer Res.</w:t>
      </w:r>
      <w:r w:rsidRPr="00392ED6">
        <w:rPr>
          <w:rFonts w:eastAsia="Calibri"/>
          <w:lang w:val="tr-TR"/>
        </w:rPr>
        <w:t xml:space="preserve"> 15(19): 5947-5949.</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127. Maitland ML, Moshier K, Imperial J, et al.(2006) Blood pressure as a biomarker for sorafenib, an inhibitor of the VEGF signaling pathway. </w:t>
      </w:r>
      <w:r w:rsidRPr="00392ED6">
        <w:rPr>
          <w:rFonts w:eastAsia="Calibri"/>
          <w:i/>
          <w:lang w:val="tr-TR"/>
        </w:rPr>
        <w:t>J. Clin. Oncol.</w:t>
      </w:r>
      <w:r w:rsidRPr="00392ED6">
        <w:rPr>
          <w:rFonts w:eastAsia="Calibri"/>
          <w:lang w:val="tr-TR"/>
        </w:rPr>
        <w:t xml:space="preserve"> </w:t>
      </w:r>
      <w:proofErr w:type="gramStart"/>
      <w:r w:rsidRPr="00392ED6">
        <w:rPr>
          <w:rFonts w:eastAsia="Calibri"/>
          <w:lang w:val="tr-TR"/>
        </w:rPr>
        <w:t>24:87</w:t>
      </w:r>
      <w:proofErr w:type="gramEnd"/>
      <w:r w:rsidRPr="00392ED6">
        <w:rPr>
          <w:rFonts w:eastAsia="Calibri"/>
          <w:lang w:val="tr-TR"/>
        </w:rPr>
        <w:t>.</w:t>
      </w:r>
    </w:p>
    <w:p w:rsidR="00392ED6" w:rsidRPr="00392ED6" w:rsidRDefault="00392ED6" w:rsidP="00392ED6">
      <w:pPr>
        <w:tabs>
          <w:tab w:val="left" w:pos="5034"/>
        </w:tabs>
        <w:spacing w:after="200" w:line="360" w:lineRule="auto"/>
        <w:jc w:val="both"/>
        <w:rPr>
          <w:rFonts w:eastAsia="Calibri"/>
          <w:lang w:val="tr-TR"/>
        </w:rPr>
      </w:pPr>
    </w:p>
    <w:p w:rsidR="00392ED6" w:rsidRPr="00392ED6" w:rsidRDefault="00392ED6" w:rsidP="00392ED6">
      <w:pPr>
        <w:tabs>
          <w:tab w:val="left" w:pos="5034"/>
        </w:tabs>
        <w:spacing w:after="200" w:line="360" w:lineRule="auto"/>
        <w:jc w:val="both"/>
        <w:rPr>
          <w:rFonts w:eastAsia="Calibri"/>
          <w:lang w:val="tr-TR"/>
        </w:rPr>
      </w:pPr>
      <w:proofErr w:type="gramStart"/>
      <w:r w:rsidRPr="00392ED6">
        <w:rPr>
          <w:rFonts w:eastAsia="Calibri"/>
          <w:lang w:val="tr-TR"/>
        </w:rPr>
        <w:lastRenderedPageBreak/>
        <w:t xml:space="preserve">128. Escudier B, Pluzanska A, Koralewski P, Ravaud A, Bracarda S, Szczylik C, Chevreau C, Filipek M, Melichar B, Bajetta E, Gorbunova V, Bay JO, Bodrogi I, Jagiello-Gruszfeld A, Moore N. (2007) Bevacizumab plus interferon alfa-2a for treatment of metastatic renal cell carcinoma: A randomised, double-blind phase III trial. </w:t>
      </w:r>
      <w:proofErr w:type="gramEnd"/>
      <w:r w:rsidRPr="00392ED6">
        <w:rPr>
          <w:rFonts w:eastAsia="Calibri"/>
          <w:i/>
          <w:lang w:val="tr-TR"/>
        </w:rPr>
        <w:t>Lancet.</w:t>
      </w:r>
      <w:r w:rsidRPr="00392ED6">
        <w:rPr>
          <w:rFonts w:eastAsia="Calibri"/>
          <w:lang w:val="tr-TR"/>
        </w:rPr>
        <w:t xml:space="preserve"> 370: 2103-2111.</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129. Van Cutsem E, Vervenne WL, Bennouna J, Humblet Y, Gill S, Van Laethem JL, Verslype C, Scheithauer W, Shang A, Cosaert J, Moore MJ. (2009) Phase III trial of bevacizumab in combination with gemcitabine and erlotinib in patients with metastatic pancreatic cancer. </w:t>
      </w:r>
      <w:r w:rsidRPr="00392ED6">
        <w:rPr>
          <w:rFonts w:eastAsia="Calibri"/>
          <w:i/>
          <w:lang w:val="tr-TR"/>
        </w:rPr>
        <w:t>J. Clin. Oncol.</w:t>
      </w:r>
      <w:r w:rsidRPr="00392ED6" w:rsidDel="00A44538">
        <w:rPr>
          <w:rFonts w:eastAsia="Calibri"/>
          <w:lang w:val="tr-TR"/>
        </w:rPr>
        <w:t xml:space="preserve"> </w:t>
      </w:r>
      <w:r w:rsidRPr="00392ED6">
        <w:rPr>
          <w:rFonts w:eastAsia="Calibri"/>
          <w:lang w:val="tr-TR"/>
        </w:rPr>
        <w:t>27: 2231-2237.</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130. Hurwitz H, Fehrenbacher L, Novotny W, Cartwright T, Hainsworth J, Heim W, Berlin J, Baron A, Griffing S, Holmgren E, Ferrara N, Fyfe G, Rogers B, Ross R, Kabbinavar F. (2004) Bevacizumab plus irinotecan, fluorouracil, and leucovorin for metastatic colorectal cancer. </w:t>
      </w:r>
      <w:r w:rsidRPr="00392ED6">
        <w:rPr>
          <w:rFonts w:eastAsia="Calibri"/>
          <w:i/>
          <w:lang w:val="tr-TR"/>
        </w:rPr>
        <w:t>N Engl. J. Med.</w:t>
      </w:r>
      <w:r w:rsidRPr="00392ED6">
        <w:rPr>
          <w:rFonts w:eastAsia="Calibri"/>
          <w:lang w:val="tr-TR"/>
        </w:rPr>
        <w:t xml:space="preserve"> 350: 2335-2342.</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131. Kabbinavar FF, Schulz J, McCleod M, Patel T, Hamm JT, Hecht JR, Mass R, Perrou B, Nelson B, Novotny WF. (2005)Addition of bevacizumab to bolus fluorouracil and leucovorin in first-line metastatic colorectal cancer: Results of a randomized phase II trial. </w:t>
      </w:r>
      <w:r w:rsidRPr="00392ED6">
        <w:rPr>
          <w:rFonts w:eastAsia="Calibri"/>
          <w:i/>
          <w:lang w:val="tr-TR"/>
        </w:rPr>
        <w:t>J. Clin. Oncol.</w:t>
      </w:r>
      <w:r w:rsidRPr="00392ED6" w:rsidDel="00A44538">
        <w:rPr>
          <w:rFonts w:eastAsia="Calibri"/>
          <w:lang w:val="tr-TR"/>
        </w:rPr>
        <w:t xml:space="preserve"> </w:t>
      </w:r>
      <w:r w:rsidRPr="00392ED6">
        <w:rPr>
          <w:rFonts w:eastAsia="Calibri"/>
          <w:lang w:val="tr-TR"/>
        </w:rPr>
        <w:t>23: 3697-3705.</w:t>
      </w:r>
    </w:p>
    <w:p w:rsidR="00392ED6" w:rsidRPr="00392ED6" w:rsidRDefault="00392ED6" w:rsidP="00392ED6">
      <w:pPr>
        <w:tabs>
          <w:tab w:val="left" w:pos="5034"/>
        </w:tabs>
        <w:spacing w:after="200" w:line="360" w:lineRule="auto"/>
        <w:jc w:val="both"/>
        <w:rPr>
          <w:rFonts w:eastAsia="Calibri"/>
          <w:lang w:val="tr-TR"/>
        </w:rPr>
      </w:pPr>
      <w:r w:rsidRPr="00392ED6">
        <w:rPr>
          <w:rFonts w:eastAsia="Calibri"/>
          <w:lang w:val="tr-TR"/>
        </w:rPr>
        <w:t xml:space="preserve">132. Miller KD, Chap LI, Holmes FA, Cobleigh MA, Marcom PK, Fehrenbacher L, Dickler M, Overmoyer BA, Reimann JD, Sing AP, Langmuir V, Rugo HS. (2005) Randomized phase III trial of capecitabine compared with bevacizumab plus capecitabine in patients with previously treated metastatic breast cancer. </w:t>
      </w:r>
      <w:r w:rsidRPr="00392ED6">
        <w:rPr>
          <w:rFonts w:eastAsia="Calibri"/>
          <w:i/>
          <w:lang w:val="tr-TR"/>
        </w:rPr>
        <w:t>J. Clin. Oncol.</w:t>
      </w:r>
      <w:r w:rsidRPr="00392ED6">
        <w:rPr>
          <w:rFonts w:eastAsia="Calibri"/>
          <w:lang w:val="tr-TR"/>
        </w:rPr>
        <w:t xml:space="preserve"> </w:t>
      </w:r>
      <w:proofErr w:type="gramStart"/>
      <w:r w:rsidRPr="00392ED6">
        <w:rPr>
          <w:rFonts w:eastAsia="Calibri"/>
          <w:lang w:val="tr-TR"/>
        </w:rPr>
        <w:t>23:792</w:t>
      </w:r>
      <w:proofErr w:type="gramEnd"/>
      <w:r w:rsidRPr="00392ED6">
        <w:rPr>
          <w:rFonts w:eastAsia="Calibri"/>
          <w:lang w:val="tr-TR"/>
        </w:rPr>
        <w:t>-799.</w:t>
      </w:r>
    </w:p>
    <w:p w:rsidR="00392ED6" w:rsidRDefault="00392ED6" w:rsidP="00392ED6"/>
    <w:sectPr w:rsidR="00392ED6" w:rsidSect="00597B3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AFF" w:usb1="C0007841" w:usb2="00000009" w:usb3="00000000" w:csb0="000001FF" w:csb1="00000000"/>
  </w:font>
  <w:font w:name="Calibri">
    <w:panose1 w:val="020F0502020204030204"/>
    <w:charset w:val="A2"/>
    <w:family w:val="swiss"/>
    <w:pitch w:val="variable"/>
    <w:sig w:usb0="E10002FF" w:usb1="4000ACFF" w:usb2="00000009" w:usb3="00000000" w:csb0="0000019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A2"/>
    <w:family w:val="roman"/>
    <w:pitch w:val="variable"/>
    <w:sig w:usb0="E00002FF" w:usb1="400004FF" w:usb2="00000000" w:usb3="00000000" w:csb0="0000019F" w:csb1="00000000"/>
  </w:font>
  <w:font w:name="Tahoma">
    <w:panose1 w:val="020B0604030504040204"/>
    <w:charset w:val="A2"/>
    <w:family w:val="swiss"/>
    <w:pitch w:val="variable"/>
    <w:sig w:usb0="E1002EFF" w:usb1="C000605B" w:usb2="00000029" w:usb3="00000000" w:csb0="000101FF" w:csb1="00000000"/>
  </w:font>
  <w:font w:name="$F$">
    <w:altName w:val="Times New Roman"/>
    <w:panose1 w:val="00000000000000000000"/>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2270AB"/>
    <w:multiLevelType w:val="hybridMultilevel"/>
    <w:tmpl w:val="62CCADE4"/>
    <w:lvl w:ilvl="0" w:tplc="62F60D2A">
      <w:start w:val="1"/>
      <w:numFmt w:val="decimal"/>
      <w:lvlText w:val="%1."/>
      <w:lvlJc w:val="left"/>
      <w:pPr>
        <w:ind w:left="720" w:hanging="360"/>
      </w:pPr>
      <w:rPr>
        <w:rFonts w:hint="default"/>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
    <w:nsid w:val="19C54430"/>
    <w:multiLevelType w:val="hybridMultilevel"/>
    <w:tmpl w:val="8C1A4326"/>
    <w:lvl w:ilvl="0" w:tplc="0568E0F4">
      <w:start w:val="2"/>
      <w:numFmt w:val="bullet"/>
      <w:lvlText w:val="-"/>
      <w:lvlJc w:val="left"/>
      <w:pPr>
        <w:ind w:left="720" w:hanging="360"/>
      </w:pPr>
      <w:rPr>
        <w:rFonts w:ascii="Calibri" w:eastAsia="Calibr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nsid w:val="4AEB63D7"/>
    <w:multiLevelType w:val="hybridMultilevel"/>
    <w:tmpl w:val="E3421F5E"/>
    <w:lvl w:ilvl="0" w:tplc="041F0001">
      <w:start w:val="1"/>
      <w:numFmt w:val="bullet"/>
      <w:lvlText w:val=""/>
      <w:lvlJc w:val="left"/>
      <w:pPr>
        <w:ind w:left="1428" w:hanging="360"/>
      </w:pPr>
      <w:rPr>
        <w:rFonts w:ascii="Symbol" w:hAnsi="Symbol" w:cs="Symbol" w:hint="default"/>
      </w:rPr>
    </w:lvl>
    <w:lvl w:ilvl="1" w:tplc="041F0003">
      <w:start w:val="1"/>
      <w:numFmt w:val="bullet"/>
      <w:lvlText w:val="o"/>
      <w:lvlJc w:val="left"/>
      <w:pPr>
        <w:ind w:left="2148" w:hanging="360"/>
      </w:pPr>
      <w:rPr>
        <w:rFonts w:ascii="Courier New" w:hAnsi="Courier New" w:cs="Courier New" w:hint="default"/>
      </w:rPr>
    </w:lvl>
    <w:lvl w:ilvl="2" w:tplc="041F0005">
      <w:start w:val="1"/>
      <w:numFmt w:val="bullet"/>
      <w:lvlText w:val=""/>
      <w:lvlJc w:val="left"/>
      <w:pPr>
        <w:ind w:left="2868" w:hanging="360"/>
      </w:pPr>
      <w:rPr>
        <w:rFonts w:ascii="Wingdings" w:hAnsi="Wingdings" w:cs="Wingdings" w:hint="default"/>
      </w:rPr>
    </w:lvl>
    <w:lvl w:ilvl="3" w:tplc="041F0001">
      <w:start w:val="1"/>
      <w:numFmt w:val="bullet"/>
      <w:lvlText w:val=""/>
      <w:lvlJc w:val="left"/>
      <w:pPr>
        <w:ind w:left="3588" w:hanging="360"/>
      </w:pPr>
      <w:rPr>
        <w:rFonts w:ascii="Symbol" w:hAnsi="Symbol" w:cs="Symbol" w:hint="default"/>
      </w:rPr>
    </w:lvl>
    <w:lvl w:ilvl="4" w:tplc="041F0003">
      <w:start w:val="1"/>
      <w:numFmt w:val="bullet"/>
      <w:lvlText w:val="o"/>
      <w:lvlJc w:val="left"/>
      <w:pPr>
        <w:ind w:left="4308" w:hanging="360"/>
      </w:pPr>
      <w:rPr>
        <w:rFonts w:ascii="Courier New" w:hAnsi="Courier New" w:cs="Courier New" w:hint="default"/>
      </w:rPr>
    </w:lvl>
    <w:lvl w:ilvl="5" w:tplc="041F0005">
      <w:start w:val="1"/>
      <w:numFmt w:val="bullet"/>
      <w:lvlText w:val=""/>
      <w:lvlJc w:val="left"/>
      <w:pPr>
        <w:ind w:left="5028" w:hanging="360"/>
      </w:pPr>
      <w:rPr>
        <w:rFonts w:ascii="Wingdings" w:hAnsi="Wingdings" w:cs="Wingdings" w:hint="default"/>
      </w:rPr>
    </w:lvl>
    <w:lvl w:ilvl="6" w:tplc="041F0001">
      <w:start w:val="1"/>
      <w:numFmt w:val="bullet"/>
      <w:lvlText w:val=""/>
      <w:lvlJc w:val="left"/>
      <w:pPr>
        <w:ind w:left="5748" w:hanging="360"/>
      </w:pPr>
      <w:rPr>
        <w:rFonts w:ascii="Symbol" w:hAnsi="Symbol" w:cs="Symbol" w:hint="default"/>
      </w:rPr>
    </w:lvl>
    <w:lvl w:ilvl="7" w:tplc="041F0003">
      <w:start w:val="1"/>
      <w:numFmt w:val="bullet"/>
      <w:lvlText w:val="o"/>
      <w:lvlJc w:val="left"/>
      <w:pPr>
        <w:ind w:left="6468" w:hanging="360"/>
      </w:pPr>
      <w:rPr>
        <w:rFonts w:ascii="Courier New" w:hAnsi="Courier New" w:cs="Courier New" w:hint="default"/>
      </w:rPr>
    </w:lvl>
    <w:lvl w:ilvl="8" w:tplc="041F0005">
      <w:start w:val="1"/>
      <w:numFmt w:val="bullet"/>
      <w:lvlText w:val=""/>
      <w:lvlJc w:val="left"/>
      <w:pPr>
        <w:ind w:left="7188" w:hanging="360"/>
      </w:pPr>
      <w:rPr>
        <w:rFonts w:ascii="Wingdings" w:hAnsi="Wingdings" w:cs="Wingdings" w:hint="default"/>
      </w:rPr>
    </w:lvl>
  </w:abstractNum>
  <w:abstractNum w:abstractNumId="3">
    <w:nsid w:val="50C5564B"/>
    <w:multiLevelType w:val="hybridMultilevel"/>
    <w:tmpl w:val="9BDCC8F6"/>
    <w:lvl w:ilvl="0" w:tplc="4882F38A">
      <w:start w:val="2"/>
      <w:numFmt w:val="bullet"/>
      <w:lvlText w:val=""/>
      <w:lvlJc w:val="left"/>
      <w:pPr>
        <w:ind w:left="540" w:hanging="360"/>
      </w:pPr>
      <w:rPr>
        <w:rFonts w:ascii="Wingdings" w:eastAsia="Calibri" w:hAnsi="Wingdings" w:cs="Times New Roman" w:hint="default"/>
      </w:rPr>
    </w:lvl>
    <w:lvl w:ilvl="1" w:tplc="041F0003" w:tentative="1">
      <w:start w:val="1"/>
      <w:numFmt w:val="bullet"/>
      <w:lvlText w:val="o"/>
      <w:lvlJc w:val="left"/>
      <w:pPr>
        <w:ind w:left="1260" w:hanging="360"/>
      </w:pPr>
      <w:rPr>
        <w:rFonts w:ascii="Courier New" w:hAnsi="Courier New" w:cs="Courier New" w:hint="default"/>
      </w:rPr>
    </w:lvl>
    <w:lvl w:ilvl="2" w:tplc="041F0005" w:tentative="1">
      <w:start w:val="1"/>
      <w:numFmt w:val="bullet"/>
      <w:lvlText w:val=""/>
      <w:lvlJc w:val="left"/>
      <w:pPr>
        <w:ind w:left="1980" w:hanging="360"/>
      </w:pPr>
      <w:rPr>
        <w:rFonts w:ascii="Wingdings" w:hAnsi="Wingdings" w:hint="default"/>
      </w:rPr>
    </w:lvl>
    <w:lvl w:ilvl="3" w:tplc="041F0001" w:tentative="1">
      <w:start w:val="1"/>
      <w:numFmt w:val="bullet"/>
      <w:lvlText w:val=""/>
      <w:lvlJc w:val="left"/>
      <w:pPr>
        <w:ind w:left="2700" w:hanging="360"/>
      </w:pPr>
      <w:rPr>
        <w:rFonts w:ascii="Symbol" w:hAnsi="Symbol" w:hint="default"/>
      </w:rPr>
    </w:lvl>
    <w:lvl w:ilvl="4" w:tplc="041F0003" w:tentative="1">
      <w:start w:val="1"/>
      <w:numFmt w:val="bullet"/>
      <w:lvlText w:val="o"/>
      <w:lvlJc w:val="left"/>
      <w:pPr>
        <w:ind w:left="3420" w:hanging="360"/>
      </w:pPr>
      <w:rPr>
        <w:rFonts w:ascii="Courier New" w:hAnsi="Courier New" w:cs="Courier New" w:hint="default"/>
      </w:rPr>
    </w:lvl>
    <w:lvl w:ilvl="5" w:tplc="041F0005" w:tentative="1">
      <w:start w:val="1"/>
      <w:numFmt w:val="bullet"/>
      <w:lvlText w:val=""/>
      <w:lvlJc w:val="left"/>
      <w:pPr>
        <w:ind w:left="4140" w:hanging="360"/>
      </w:pPr>
      <w:rPr>
        <w:rFonts w:ascii="Wingdings" w:hAnsi="Wingdings" w:hint="default"/>
      </w:rPr>
    </w:lvl>
    <w:lvl w:ilvl="6" w:tplc="041F0001" w:tentative="1">
      <w:start w:val="1"/>
      <w:numFmt w:val="bullet"/>
      <w:lvlText w:val=""/>
      <w:lvlJc w:val="left"/>
      <w:pPr>
        <w:ind w:left="4860" w:hanging="360"/>
      </w:pPr>
      <w:rPr>
        <w:rFonts w:ascii="Symbol" w:hAnsi="Symbol" w:hint="default"/>
      </w:rPr>
    </w:lvl>
    <w:lvl w:ilvl="7" w:tplc="041F0003" w:tentative="1">
      <w:start w:val="1"/>
      <w:numFmt w:val="bullet"/>
      <w:lvlText w:val="o"/>
      <w:lvlJc w:val="left"/>
      <w:pPr>
        <w:ind w:left="5580" w:hanging="360"/>
      </w:pPr>
      <w:rPr>
        <w:rFonts w:ascii="Courier New" w:hAnsi="Courier New" w:cs="Courier New" w:hint="default"/>
      </w:rPr>
    </w:lvl>
    <w:lvl w:ilvl="8" w:tplc="041F0005" w:tentative="1">
      <w:start w:val="1"/>
      <w:numFmt w:val="bullet"/>
      <w:lvlText w:val=""/>
      <w:lvlJc w:val="left"/>
      <w:pPr>
        <w:ind w:left="6300" w:hanging="360"/>
      </w:pPr>
      <w:rPr>
        <w:rFonts w:ascii="Wingdings" w:hAnsi="Wingdings" w:hint="default"/>
      </w:rPr>
    </w:lvl>
  </w:abstractNum>
  <w:abstractNum w:abstractNumId="4">
    <w:nsid w:val="542672A8"/>
    <w:multiLevelType w:val="hybridMultilevel"/>
    <w:tmpl w:val="1804C36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668678F4"/>
    <w:multiLevelType w:val="hybridMultilevel"/>
    <w:tmpl w:val="1B34ECD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75FC04A0"/>
    <w:multiLevelType w:val="hybridMultilevel"/>
    <w:tmpl w:val="DC08A996"/>
    <w:lvl w:ilvl="0" w:tplc="5F96991C">
      <w:start w:val="1"/>
      <w:numFmt w:val="decimal"/>
      <w:lvlText w:val="%1."/>
      <w:lvlJc w:val="left"/>
      <w:pPr>
        <w:ind w:left="720" w:hanging="360"/>
      </w:pPr>
      <w:rPr>
        <w:rFonts w:ascii="Times New Roman" w:eastAsia="Times New Roman" w:hAnsi="Times New Roman"/>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7">
    <w:nsid w:val="781922B5"/>
    <w:multiLevelType w:val="hybridMultilevel"/>
    <w:tmpl w:val="7E980E04"/>
    <w:lvl w:ilvl="0" w:tplc="041F000F">
      <w:start w:val="1"/>
      <w:numFmt w:val="decimal"/>
      <w:lvlText w:val="%1."/>
      <w:lvlJc w:val="left"/>
      <w:pPr>
        <w:ind w:left="720" w:hanging="360"/>
      </w:pPr>
      <w:rPr>
        <w:rFonts w:ascii="Times New Roman" w:hAnsi="Times New Roman" w:cs="Times New Roman"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nsid w:val="78605708"/>
    <w:multiLevelType w:val="hybridMultilevel"/>
    <w:tmpl w:val="7FD6B744"/>
    <w:lvl w:ilvl="0" w:tplc="041F000F">
      <w:start w:val="1"/>
      <w:numFmt w:val="decimal"/>
      <w:lvlText w:val="%1."/>
      <w:lvlJc w:val="left"/>
      <w:pPr>
        <w:ind w:left="720" w:hanging="360"/>
      </w:pPr>
      <w:rPr>
        <w:rFonts w:hint="default"/>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9">
    <w:nsid w:val="7DF43BFD"/>
    <w:multiLevelType w:val="hybridMultilevel"/>
    <w:tmpl w:val="D564F462"/>
    <w:lvl w:ilvl="0" w:tplc="C7048982">
      <w:start w:val="1"/>
      <w:numFmt w:val="decimal"/>
      <w:lvlText w:val="%1)"/>
      <w:lvlJc w:val="left"/>
      <w:pPr>
        <w:ind w:left="720" w:hanging="360"/>
      </w:pPr>
      <w:rPr>
        <w:rFonts w:ascii="Calibri" w:eastAsia="Times New Roman" w:hAnsi="Calibri" w:hint="default"/>
        <w:b/>
        <w:bCs/>
        <w:sz w:val="22"/>
        <w:szCs w:val="22"/>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0">
    <w:nsid w:val="7EE91195"/>
    <w:multiLevelType w:val="hybridMultilevel"/>
    <w:tmpl w:val="A7EA565C"/>
    <w:lvl w:ilvl="0" w:tplc="AAD2A46E">
      <w:start w:val="140"/>
      <w:numFmt w:val="bullet"/>
      <w:lvlText w:val=""/>
      <w:lvlJc w:val="left"/>
      <w:pPr>
        <w:ind w:left="720" w:hanging="360"/>
      </w:pPr>
      <w:rPr>
        <w:rFonts w:ascii="Wingdings" w:eastAsia="Calibri" w:hAnsi="Wingdings"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9"/>
  </w:num>
  <w:num w:numId="2">
    <w:abstractNumId w:val="2"/>
  </w:num>
  <w:num w:numId="3">
    <w:abstractNumId w:val="0"/>
  </w:num>
  <w:num w:numId="4">
    <w:abstractNumId w:val="8"/>
  </w:num>
  <w:num w:numId="5">
    <w:abstractNumId w:val="6"/>
  </w:num>
  <w:num w:numId="6">
    <w:abstractNumId w:val="1"/>
  </w:num>
  <w:num w:numId="7">
    <w:abstractNumId w:val="4"/>
  </w:num>
  <w:num w:numId="8">
    <w:abstractNumId w:val="7"/>
  </w:num>
  <w:num w:numId="9">
    <w:abstractNumId w:val="5"/>
  </w:num>
  <w:num w:numId="10">
    <w:abstractNumId w:val="1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E4032A"/>
    <w:rsid w:val="00176465"/>
    <w:rsid w:val="001F533F"/>
    <w:rsid w:val="002011FC"/>
    <w:rsid w:val="00224E0F"/>
    <w:rsid w:val="002B38D7"/>
    <w:rsid w:val="00316180"/>
    <w:rsid w:val="0032501B"/>
    <w:rsid w:val="00392ED6"/>
    <w:rsid w:val="00543BDC"/>
    <w:rsid w:val="00597B3F"/>
    <w:rsid w:val="00785EAE"/>
    <w:rsid w:val="007D6414"/>
    <w:rsid w:val="008269B1"/>
    <w:rsid w:val="00873D00"/>
    <w:rsid w:val="008A590A"/>
    <w:rsid w:val="00920CB4"/>
    <w:rsid w:val="009E26B7"/>
    <w:rsid w:val="00A24B9D"/>
    <w:rsid w:val="00AE7415"/>
    <w:rsid w:val="00BA4A6F"/>
    <w:rsid w:val="00BC0867"/>
    <w:rsid w:val="00BD4422"/>
    <w:rsid w:val="00C240D8"/>
    <w:rsid w:val="00C27479"/>
    <w:rsid w:val="00C472F6"/>
    <w:rsid w:val="00C7201C"/>
    <w:rsid w:val="00D422BE"/>
    <w:rsid w:val="00DB619B"/>
    <w:rsid w:val="00E068DD"/>
    <w:rsid w:val="00E36B30"/>
    <w:rsid w:val="00E4032A"/>
    <w:rsid w:val="00FD7089"/>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tr-TR" w:eastAsia="tr-T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032A"/>
    <w:rPr>
      <w:rFonts w:ascii="Times New Roman" w:eastAsia="Times New Roman" w:hAnsi="Times New Roman"/>
      <w:sz w:val="24"/>
      <w:szCs w:val="24"/>
      <w:lang w:val="en-US" w:eastAsia="en-US"/>
    </w:rPr>
  </w:style>
  <w:style w:type="paragraph" w:styleId="Balk1">
    <w:name w:val="heading 1"/>
    <w:basedOn w:val="Normal"/>
    <w:next w:val="Normal"/>
    <w:link w:val="Balk1Char"/>
    <w:uiPriority w:val="99"/>
    <w:qFormat/>
    <w:rsid w:val="00392ED6"/>
    <w:pPr>
      <w:keepNext/>
      <w:keepLines/>
      <w:spacing w:before="480" w:line="276" w:lineRule="auto"/>
      <w:outlineLvl w:val="0"/>
    </w:pPr>
    <w:rPr>
      <w:rFonts w:ascii="Cambria" w:eastAsia="Calibri" w:hAnsi="Cambria"/>
      <w:b/>
      <w:bCs/>
      <w:color w:val="365F91"/>
      <w:sz w:val="28"/>
      <w:szCs w:val="28"/>
      <w:lang w:eastAsia="x-none"/>
    </w:rPr>
  </w:style>
  <w:style w:type="paragraph" w:styleId="Balk2">
    <w:name w:val="heading 2"/>
    <w:basedOn w:val="Normal"/>
    <w:next w:val="Normal"/>
    <w:link w:val="Balk2Char"/>
    <w:semiHidden/>
    <w:unhideWhenUsed/>
    <w:qFormat/>
    <w:rsid w:val="00392ED6"/>
    <w:pPr>
      <w:keepNext/>
      <w:keepLines/>
      <w:spacing w:before="200" w:line="276" w:lineRule="auto"/>
      <w:outlineLvl w:val="1"/>
    </w:pPr>
    <w:rPr>
      <w:rFonts w:ascii="Cambria" w:hAnsi="Cambria"/>
      <w:b/>
      <w:bCs/>
      <w:color w:val="4F81BD"/>
      <w:sz w:val="26"/>
      <w:szCs w:val="26"/>
    </w:rPr>
  </w:style>
  <w:style w:type="paragraph" w:styleId="Balk3">
    <w:name w:val="heading 3"/>
    <w:basedOn w:val="Normal"/>
    <w:next w:val="Normal"/>
    <w:link w:val="Balk3Char"/>
    <w:semiHidden/>
    <w:unhideWhenUsed/>
    <w:qFormat/>
    <w:rsid w:val="00392ED6"/>
    <w:pPr>
      <w:keepNext/>
      <w:keepLines/>
      <w:spacing w:before="200" w:line="276" w:lineRule="auto"/>
      <w:outlineLvl w:val="2"/>
    </w:pPr>
    <w:rPr>
      <w:rFonts w:ascii="Cambria" w:hAnsi="Cambria"/>
      <w:b/>
      <w:bCs/>
      <w:color w:val="4F81BD"/>
      <w:sz w:val="22"/>
      <w:szCs w:val="22"/>
    </w:rPr>
  </w:style>
  <w:style w:type="paragraph" w:styleId="Balk4">
    <w:name w:val="heading 4"/>
    <w:basedOn w:val="Normal"/>
    <w:next w:val="Normal"/>
    <w:link w:val="Balk4Char"/>
    <w:semiHidden/>
    <w:unhideWhenUsed/>
    <w:qFormat/>
    <w:rsid w:val="00392ED6"/>
    <w:pPr>
      <w:keepNext/>
      <w:keepLines/>
      <w:spacing w:before="200" w:line="276" w:lineRule="auto"/>
      <w:outlineLvl w:val="3"/>
    </w:pPr>
    <w:rPr>
      <w:rFonts w:ascii="Cambria" w:hAnsi="Cambria"/>
      <w:b/>
      <w:bCs/>
      <w:i/>
      <w:iCs/>
      <w:color w:val="4F81BD"/>
      <w:sz w:val="22"/>
      <w:szCs w:val="22"/>
    </w:rPr>
  </w:style>
  <w:style w:type="paragraph" w:styleId="Balk5">
    <w:name w:val="heading 5"/>
    <w:basedOn w:val="Normal"/>
    <w:next w:val="Normal"/>
    <w:link w:val="Balk5Char"/>
    <w:semiHidden/>
    <w:unhideWhenUsed/>
    <w:qFormat/>
    <w:rsid w:val="00392ED6"/>
    <w:pPr>
      <w:keepNext/>
      <w:keepLines/>
      <w:spacing w:before="200" w:line="276" w:lineRule="auto"/>
      <w:outlineLvl w:val="4"/>
    </w:pPr>
    <w:rPr>
      <w:rFonts w:ascii="Cambria" w:hAnsi="Cambria"/>
      <w:color w:val="243F60"/>
      <w:sz w:val="22"/>
      <w:szCs w:val="2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9"/>
    <w:rsid w:val="00392ED6"/>
    <w:rPr>
      <w:rFonts w:ascii="Cambria" w:hAnsi="Cambria"/>
      <w:b/>
      <w:bCs/>
      <w:color w:val="365F91"/>
      <w:sz w:val="28"/>
      <w:szCs w:val="28"/>
      <w:lang w:val="en-US" w:eastAsia="x-none"/>
    </w:rPr>
  </w:style>
  <w:style w:type="character" w:customStyle="1" w:styleId="Balk2Char">
    <w:name w:val="Başlık 2 Char"/>
    <w:basedOn w:val="VarsaylanParagrafYazTipi"/>
    <w:link w:val="Balk2"/>
    <w:semiHidden/>
    <w:rsid w:val="00392ED6"/>
    <w:rPr>
      <w:rFonts w:ascii="Cambria" w:eastAsia="Times New Roman" w:hAnsi="Cambria"/>
      <w:b/>
      <w:bCs/>
      <w:color w:val="4F81BD"/>
      <w:sz w:val="26"/>
      <w:szCs w:val="26"/>
      <w:lang w:val="en-US" w:eastAsia="en-US"/>
    </w:rPr>
  </w:style>
  <w:style w:type="character" w:customStyle="1" w:styleId="Balk3Char">
    <w:name w:val="Başlık 3 Char"/>
    <w:basedOn w:val="VarsaylanParagrafYazTipi"/>
    <w:link w:val="Balk3"/>
    <w:semiHidden/>
    <w:rsid w:val="00392ED6"/>
    <w:rPr>
      <w:rFonts w:ascii="Cambria" w:eastAsia="Times New Roman" w:hAnsi="Cambria"/>
      <w:b/>
      <w:bCs/>
      <w:color w:val="4F81BD"/>
      <w:sz w:val="22"/>
      <w:szCs w:val="22"/>
      <w:lang w:val="en-US" w:eastAsia="en-US"/>
    </w:rPr>
  </w:style>
  <w:style w:type="character" w:customStyle="1" w:styleId="Balk4Char">
    <w:name w:val="Başlık 4 Char"/>
    <w:basedOn w:val="VarsaylanParagrafYazTipi"/>
    <w:link w:val="Balk4"/>
    <w:semiHidden/>
    <w:rsid w:val="00392ED6"/>
    <w:rPr>
      <w:rFonts w:ascii="Cambria" w:eastAsia="Times New Roman" w:hAnsi="Cambria"/>
      <w:b/>
      <w:bCs/>
      <w:i/>
      <w:iCs/>
      <w:color w:val="4F81BD"/>
      <w:sz w:val="22"/>
      <w:szCs w:val="22"/>
      <w:lang w:val="en-US" w:eastAsia="en-US"/>
    </w:rPr>
  </w:style>
  <w:style w:type="character" w:customStyle="1" w:styleId="Balk5Char">
    <w:name w:val="Başlık 5 Char"/>
    <w:basedOn w:val="VarsaylanParagrafYazTipi"/>
    <w:link w:val="Balk5"/>
    <w:semiHidden/>
    <w:rsid w:val="00392ED6"/>
    <w:rPr>
      <w:rFonts w:ascii="Cambria" w:eastAsia="Times New Roman" w:hAnsi="Cambria"/>
      <w:color w:val="243F60"/>
      <w:sz w:val="22"/>
      <w:szCs w:val="22"/>
      <w:lang w:val="en-US" w:eastAsia="en-US"/>
    </w:rPr>
  </w:style>
  <w:style w:type="numbering" w:customStyle="1" w:styleId="ListeYok1">
    <w:name w:val="Liste Yok1"/>
    <w:next w:val="ListeYok"/>
    <w:uiPriority w:val="99"/>
    <w:semiHidden/>
    <w:unhideWhenUsed/>
    <w:rsid w:val="00392ED6"/>
  </w:style>
  <w:style w:type="paragraph" w:styleId="ListeParagraf">
    <w:name w:val="List Paragraph"/>
    <w:basedOn w:val="Normal"/>
    <w:uiPriority w:val="99"/>
    <w:qFormat/>
    <w:rsid w:val="00392ED6"/>
    <w:pPr>
      <w:spacing w:after="200" w:line="276" w:lineRule="auto"/>
      <w:ind w:left="720"/>
    </w:pPr>
    <w:rPr>
      <w:rFonts w:ascii="Calibri" w:eastAsia="Calibri" w:hAnsi="Calibri" w:cs="Calibri"/>
      <w:sz w:val="22"/>
      <w:szCs w:val="22"/>
      <w:lang w:val="tr-TR"/>
    </w:rPr>
  </w:style>
  <w:style w:type="character" w:customStyle="1" w:styleId="apple-style-span">
    <w:name w:val="apple-style-span"/>
    <w:basedOn w:val="VarsaylanParagrafYazTipi"/>
    <w:uiPriority w:val="99"/>
    <w:rsid w:val="00392ED6"/>
  </w:style>
  <w:style w:type="paragraph" w:styleId="AralkYok">
    <w:name w:val="No Spacing"/>
    <w:uiPriority w:val="99"/>
    <w:qFormat/>
    <w:rsid w:val="00392ED6"/>
    <w:rPr>
      <w:rFonts w:cs="Calibri"/>
      <w:sz w:val="22"/>
      <w:szCs w:val="22"/>
      <w:lang w:val="en-US" w:eastAsia="en-US"/>
    </w:rPr>
  </w:style>
  <w:style w:type="paragraph" w:styleId="BalonMetni">
    <w:name w:val="Balloon Text"/>
    <w:basedOn w:val="Normal"/>
    <w:link w:val="BalonMetniChar"/>
    <w:uiPriority w:val="99"/>
    <w:semiHidden/>
    <w:rsid w:val="00392ED6"/>
    <w:rPr>
      <w:rFonts w:ascii="Tahoma" w:eastAsia="Calibri" w:hAnsi="Tahoma"/>
      <w:sz w:val="16"/>
      <w:szCs w:val="16"/>
      <w:lang w:eastAsia="x-none"/>
    </w:rPr>
  </w:style>
  <w:style w:type="character" w:customStyle="1" w:styleId="BalonMetniChar">
    <w:name w:val="Balon Metni Char"/>
    <w:basedOn w:val="VarsaylanParagrafYazTipi"/>
    <w:link w:val="BalonMetni"/>
    <w:uiPriority w:val="99"/>
    <w:semiHidden/>
    <w:rsid w:val="00392ED6"/>
    <w:rPr>
      <w:rFonts w:ascii="Tahoma" w:hAnsi="Tahoma"/>
      <w:sz w:val="16"/>
      <w:szCs w:val="16"/>
      <w:lang w:val="en-US" w:eastAsia="x-none"/>
    </w:rPr>
  </w:style>
  <w:style w:type="table" w:styleId="TabloKlavuzu">
    <w:name w:val="Table Grid"/>
    <w:basedOn w:val="NormalTablo"/>
    <w:uiPriority w:val="59"/>
    <w:rsid w:val="00392ED6"/>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Kpr">
    <w:name w:val="Hyperlink"/>
    <w:uiPriority w:val="99"/>
    <w:rsid w:val="00392ED6"/>
    <w:rPr>
      <w:color w:val="0000FF"/>
      <w:u w:val="single"/>
    </w:rPr>
  </w:style>
  <w:style w:type="paragraph" w:styleId="stbilgi">
    <w:name w:val="header"/>
    <w:basedOn w:val="Normal"/>
    <w:link w:val="stbilgiChar"/>
    <w:uiPriority w:val="99"/>
    <w:rsid w:val="00392ED6"/>
    <w:pPr>
      <w:tabs>
        <w:tab w:val="center" w:pos="4536"/>
        <w:tab w:val="right" w:pos="9072"/>
      </w:tabs>
    </w:pPr>
    <w:rPr>
      <w:rFonts w:ascii="Calibri" w:eastAsia="Calibri" w:hAnsi="Calibri"/>
      <w:sz w:val="20"/>
      <w:szCs w:val="20"/>
      <w:lang w:eastAsia="x-none"/>
    </w:rPr>
  </w:style>
  <w:style w:type="character" w:customStyle="1" w:styleId="stbilgiChar">
    <w:name w:val="Üstbilgi Char"/>
    <w:basedOn w:val="VarsaylanParagrafYazTipi"/>
    <w:link w:val="stbilgi"/>
    <w:uiPriority w:val="99"/>
    <w:rsid w:val="00392ED6"/>
    <w:rPr>
      <w:lang w:val="en-US" w:eastAsia="x-none"/>
    </w:rPr>
  </w:style>
  <w:style w:type="paragraph" w:styleId="Altbilgi">
    <w:name w:val="footer"/>
    <w:basedOn w:val="Normal"/>
    <w:link w:val="AltbilgiChar"/>
    <w:uiPriority w:val="99"/>
    <w:rsid w:val="00392ED6"/>
    <w:pPr>
      <w:tabs>
        <w:tab w:val="center" w:pos="4536"/>
        <w:tab w:val="right" w:pos="9072"/>
      </w:tabs>
    </w:pPr>
    <w:rPr>
      <w:rFonts w:ascii="Calibri" w:eastAsia="Calibri" w:hAnsi="Calibri"/>
      <w:sz w:val="20"/>
      <w:szCs w:val="20"/>
      <w:lang w:eastAsia="x-none"/>
    </w:rPr>
  </w:style>
  <w:style w:type="character" w:customStyle="1" w:styleId="AltbilgiChar">
    <w:name w:val="Altbilgi Char"/>
    <w:basedOn w:val="VarsaylanParagrafYazTipi"/>
    <w:link w:val="Altbilgi"/>
    <w:uiPriority w:val="99"/>
    <w:rsid w:val="00392ED6"/>
    <w:rPr>
      <w:lang w:val="en-US" w:eastAsia="x-none"/>
    </w:rPr>
  </w:style>
  <w:style w:type="character" w:styleId="AklamaBavurusu">
    <w:name w:val="annotation reference"/>
    <w:uiPriority w:val="99"/>
    <w:semiHidden/>
    <w:rsid w:val="00392ED6"/>
    <w:rPr>
      <w:sz w:val="16"/>
      <w:szCs w:val="16"/>
    </w:rPr>
  </w:style>
  <w:style w:type="paragraph" w:styleId="AklamaMetni">
    <w:name w:val="annotation text"/>
    <w:basedOn w:val="Normal"/>
    <w:link w:val="AklamaMetniChar"/>
    <w:uiPriority w:val="99"/>
    <w:semiHidden/>
    <w:rsid w:val="00392ED6"/>
    <w:pPr>
      <w:spacing w:after="200"/>
    </w:pPr>
    <w:rPr>
      <w:rFonts w:ascii="Calibri" w:eastAsia="Calibri" w:hAnsi="Calibri"/>
      <w:sz w:val="20"/>
      <w:szCs w:val="20"/>
      <w:lang w:eastAsia="x-none"/>
    </w:rPr>
  </w:style>
  <w:style w:type="character" w:customStyle="1" w:styleId="AklamaMetniChar">
    <w:name w:val="Açıklama Metni Char"/>
    <w:basedOn w:val="VarsaylanParagrafYazTipi"/>
    <w:link w:val="AklamaMetni"/>
    <w:uiPriority w:val="99"/>
    <w:semiHidden/>
    <w:rsid w:val="00392ED6"/>
    <w:rPr>
      <w:lang w:val="en-US" w:eastAsia="x-none"/>
    </w:rPr>
  </w:style>
  <w:style w:type="paragraph" w:styleId="AklamaKonusu">
    <w:name w:val="annotation subject"/>
    <w:basedOn w:val="AklamaMetni"/>
    <w:next w:val="AklamaMetni"/>
    <w:link w:val="AklamaKonusuChar"/>
    <w:uiPriority w:val="99"/>
    <w:semiHidden/>
    <w:rsid w:val="00392ED6"/>
    <w:rPr>
      <w:b/>
      <w:bCs/>
    </w:rPr>
  </w:style>
  <w:style w:type="character" w:customStyle="1" w:styleId="AklamaKonusuChar">
    <w:name w:val="Açıklama Konusu Char"/>
    <w:basedOn w:val="AklamaMetniChar"/>
    <w:link w:val="AklamaKonusu"/>
    <w:uiPriority w:val="99"/>
    <w:semiHidden/>
    <w:rsid w:val="00392ED6"/>
    <w:rPr>
      <w:b/>
      <w:bCs/>
      <w:lang w:val="en-US" w:eastAsia="x-none"/>
    </w:rPr>
  </w:style>
  <w:style w:type="paragraph" w:styleId="AltKonuBal">
    <w:name w:val="Subtitle"/>
    <w:basedOn w:val="Normal"/>
    <w:next w:val="Normal"/>
    <w:link w:val="AltKonuBalChar"/>
    <w:qFormat/>
    <w:rsid w:val="00392ED6"/>
    <w:pPr>
      <w:spacing w:after="60" w:line="276" w:lineRule="auto"/>
      <w:jc w:val="center"/>
      <w:outlineLvl w:val="1"/>
    </w:pPr>
    <w:rPr>
      <w:rFonts w:ascii="Cambria" w:hAnsi="Cambria"/>
    </w:rPr>
  </w:style>
  <w:style w:type="character" w:customStyle="1" w:styleId="AltKonuBalChar">
    <w:name w:val="Alt Konu Başlığı Char"/>
    <w:basedOn w:val="VarsaylanParagrafYazTipi"/>
    <w:link w:val="AltKonuBal"/>
    <w:rsid w:val="00392ED6"/>
    <w:rPr>
      <w:rFonts w:ascii="Cambria" w:eastAsia="Times New Roman" w:hAnsi="Cambria"/>
      <w:sz w:val="24"/>
      <w:szCs w:val="24"/>
      <w:lang w:val="en-US" w:eastAsia="en-US"/>
    </w:rPr>
  </w:style>
  <w:style w:type="paragraph" w:customStyle="1" w:styleId="Stil1">
    <w:name w:val="Stil1"/>
    <w:basedOn w:val="Balk1"/>
    <w:link w:val="Stil1Char"/>
    <w:qFormat/>
    <w:rsid w:val="00392ED6"/>
    <w:rPr>
      <w:rFonts w:ascii="Times New Roman" w:eastAsia="Times New Roman" w:hAnsi="Times New Roman"/>
      <w:lang w:eastAsia="en-US"/>
    </w:rPr>
  </w:style>
  <w:style w:type="character" w:customStyle="1" w:styleId="Stil1Char">
    <w:name w:val="Stil1 Char"/>
    <w:link w:val="Stil1"/>
    <w:rsid w:val="00392ED6"/>
    <w:rPr>
      <w:rFonts w:ascii="Times New Roman" w:eastAsia="Times New Roman" w:hAnsi="Times New Roman"/>
      <w:b/>
      <w:bCs/>
      <w:color w:val="365F91"/>
      <w:sz w:val="28"/>
      <w:szCs w:val="28"/>
      <w:lang w:val="en-US" w:eastAsia="en-US"/>
    </w:rPr>
  </w:style>
  <w:style w:type="paragraph" w:styleId="ResimYazs">
    <w:name w:val="caption"/>
    <w:basedOn w:val="Normal"/>
    <w:next w:val="Normal"/>
    <w:unhideWhenUsed/>
    <w:qFormat/>
    <w:rsid w:val="00392ED6"/>
    <w:pPr>
      <w:spacing w:after="200" w:line="276" w:lineRule="auto"/>
    </w:pPr>
    <w:rPr>
      <w:rFonts w:ascii="Calibri" w:eastAsia="Calibri" w:hAnsi="Calibri" w:cs="Calibri"/>
      <w:b/>
      <w:bCs/>
      <w:sz w:val="20"/>
      <w:szCs w:val="20"/>
    </w:rPr>
  </w:style>
  <w:style w:type="paragraph" w:styleId="KonuBal">
    <w:name w:val="Title"/>
    <w:basedOn w:val="Normal"/>
    <w:next w:val="Normal"/>
    <w:link w:val="KonuBalChar"/>
    <w:qFormat/>
    <w:rsid w:val="00392ED6"/>
    <w:pPr>
      <w:spacing w:before="240" w:after="60" w:line="276" w:lineRule="auto"/>
      <w:jc w:val="center"/>
      <w:outlineLvl w:val="0"/>
    </w:pPr>
    <w:rPr>
      <w:rFonts w:ascii="Cambria" w:hAnsi="Cambria"/>
      <w:b/>
      <w:bCs/>
      <w:kern w:val="28"/>
      <w:sz w:val="32"/>
      <w:szCs w:val="32"/>
    </w:rPr>
  </w:style>
  <w:style w:type="character" w:customStyle="1" w:styleId="KonuBalChar">
    <w:name w:val="Konu Başlığı Char"/>
    <w:basedOn w:val="VarsaylanParagrafYazTipi"/>
    <w:link w:val="KonuBal"/>
    <w:rsid w:val="00392ED6"/>
    <w:rPr>
      <w:rFonts w:ascii="Cambria" w:eastAsia="Times New Roman" w:hAnsi="Cambria"/>
      <w:b/>
      <w:bCs/>
      <w:kern w:val="28"/>
      <w:sz w:val="32"/>
      <w:szCs w:val="32"/>
      <w:lang w:val="en-US" w:eastAsia="en-US"/>
    </w:rPr>
  </w:style>
  <w:style w:type="paragraph" w:styleId="BelgeBalantlar">
    <w:name w:val="Document Map"/>
    <w:basedOn w:val="Normal"/>
    <w:link w:val="BelgeBalantlarChar"/>
    <w:uiPriority w:val="99"/>
    <w:semiHidden/>
    <w:unhideWhenUsed/>
    <w:rsid w:val="00392ED6"/>
    <w:rPr>
      <w:rFonts w:ascii="Tahoma" w:eastAsia="Calibri" w:hAnsi="Tahoma"/>
      <w:sz w:val="16"/>
      <w:szCs w:val="16"/>
    </w:rPr>
  </w:style>
  <w:style w:type="character" w:customStyle="1" w:styleId="BelgeBalantlarChar">
    <w:name w:val="Belge Bağlantıları Char"/>
    <w:basedOn w:val="VarsaylanParagrafYazTipi"/>
    <w:link w:val="BelgeBalantlar"/>
    <w:uiPriority w:val="99"/>
    <w:semiHidden/>
    <w:rsid w:val="00392ED6"/>
    <w:rPr>
      <w:rFonts w:ascii="Tahoma" w:hAnsi="Tahoma"/>
      <w:sz w:val="16"/>
      <w:szCs w:val="16"/>
      <w:lang w:val="en-US" w:eastAsia="en-US"/>
    </w:rPr>
  </w:style>
  <w:style w:type="paragraph" w:styleId="Dzeltme">
    <w:name w:val="Revision"/>
    <w:hidden/>
    <w:uiPriority w:val="99"/>
    <w:semiHidden/>
    <w:rsid w:val="00392ED6"/>
    <w:rPr>
      <w:rFonts w:cs="Calibri"/>
      <w:sz w:val="22"/>
      <w:szCs w:val="22"/>
      <w:lang w:val="en-US" w:eastAsia="en-US"/>
    </w:rPr>
  </w:style>
  <w:style w:type="table" w:customStyle="1" w:styleId="TabloKlavuzu1">
    <w:name w:val="Tablo Kılavuzu1"/>
    <w:basedOn w:val="NormalTablo"/>
    <w:next w:val="TabloKlavuzu"/>
    <w:uiPriority w:val="59"/>
    <w:rsid w:val="00392E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266508">
      <w:bodyDiv w:val="1"/>
      <w:marLeft w:val="0"/>
      <w:marRight w:val="0"/>
      <w:marTop w:val="0"/>
      <w:marBottom w:val="0"/>
      <w:divBdr>
        <w:top w:val="none" w:sz="0" w:space="0" w:color="auto"/>
        <w:left w:val="none" w:sz="0" w:space="0" w:color="auto"/>
        <w:bottom w:val="none" w:sz="0" w:space="0" w:color="auto"/>
        <w:right w:val="none" w:sz="0" w:space="0" w:color="auto"/>
      </w:divBdr>
    </w:div>
    <w:div w:id="213105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png"/><Relationship Id="rId18" Type="http://schemas.openxmlformats.org/officeDocument/2006/relationships/image" Target="media/image10.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image" Target="media/image1.wmf"/><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emf"/><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oleObject" Target="embeddings/oleObject2.bin"/><Relationship Id="rId14" Type="http://schemas.openxmlformats.org/officeDocument/2006/relationships/image" Target="media/image6.png"/><Relationship Id="rId22" Type="http://schemas.openxmlformats.org/officeDocument/2006/relationships/image" Target="media/image14.emf"/></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9486BC-744F-4D0C-B72B-A7A7D15C3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69</Pages>
  <Words>16286</Words>
  <Characters>92836</Characters>
  <Application>Microsoft Office Word</Application>
  <DocSecurity>0</DocSecurity>
  <Lines>773</Lines>
  <Paragraphs>217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108905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umut</cp:lastModifiedBy>
  <cp:revision>12</cp:revision>
  <cp:lastPrinted>2012-03-18T22:27:00Z</cp:lastPrinted>
  <dcterms:created xsi:type="dcterms:W3CDTF">2011-01-13T19:28:00Z</dcterms:created>
  <dcterms:modified xsi:type="dcterms:W3CDTF">2012-03-18T22:29:00Z</dcterms:modified>
</cp:coreProperties>
</file>