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27C39" w:rsidRDefault="00BE0981" w:rsidP="00742A83">
      <w:pPr>
        <w:jc w:val="center"/>
      </w:pPr>
      <w:bookmarkStart w:id="0" w:name="_GoBack"/>
      <w:bookmarkEnd w:id="0"/>
      <w:r w:rsidRPr="0057493F">
        <w:rPr>
          <w:b/>
          <w:noProof/>
          <w:sz w:val="28"/>
          <w:szCs w:val="28"/>
          <w:lang w:eastAsia="tr-TR"/>
        </w:rPr>
        <w:drawing>
          <wp:inline distT="0" distB="0" distL="0" distR="0">
            <wp:extent cx="1280160" cy="1005840"/>
            <wp:effectExtent l="19050" t="0" r="0" b="0"/>
            <wp:docPr id="1" name="Resim 1" descr="https://www.baskent.edu.tr/amblem/baskent_amblem0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sim 1" descr="https://www.baskent.edu.tr/amblem/baskent_amblem02.gif"/>
                    <pic:cNvPicPr>
                      <a:picLocks noChangeAspect="1" noChangeArrowheads="1"/>
                    </pic:cNvPicPr>
                  </pic:nvPicPr>
                  <pic:blipFill>
                    <a:blip r:embed="rId8" cstate="print"/>
                    <a:srcRect/>
                    <a:stretch>
                      <a:fillRect/>
                    </a:stretch>
                  </pic:blipFill>
                  <pic:spPr bwMode="auto">
                    <a:xfrm>
                      <a:off x="0" y="0"/>
                      <a:ext cx="1280160" cy="1005840"/>
                    </a:xfrm>
                    <a:prstGeom prst="rect">
                      <a:avLst/>
                    </a:prstGeom>
                    <a:noFill/>
                    <a:ln w="9525">
                      <a:noFill/>
                      <a:miter lim="800000"/>
                      <a:headEnd/>
                      <a:tailEnd/>
                    </a:ln>
                  </pic:spPr>
                </pic:pic>
              </a:graphicData>
            </a:graphic>
          </wp:inline>
        </w:drawing>
      </w:r>
    </w:p>
    <w:p w:rsidR="00AE2D0D" w:rsidRPr="00AE2D0D" w:rsidRDefault="00AE2D0D" w:rsidP="00742A83">
      <w:pPr>
        <w:jc w:val="center"/>
        <w:rPr>
          <w:b/>
          <w:sz w:val="28"/>
          <w:szCs w:val="28"/>
        </w:rPr>
      </w:pPr>
      <w:r w:rsidRPr="00AE2D0D">
        <w:rPr>
          <w:b/>
          <w:sz w:val="28"/>
          <w:szCs w:val="28"/>
        </w:rPr>
        <w:t>1993</w:t>
      </w:r>
    </w:p>
    <w:p w:rsidR="00C27C39" w:rsidRPr="0057493F" w:rsidRDefault="00C27C39" w:rsidP="00C27C39">
      <w:pPr>
        <w:jc w:val="center"/>
        <w:rPr>
          <w:b/>
          <w:sz w:val="28"/>
          <w:szCs w:val="28"/>
        </w:rPr>
      </w:pPr>
      <w:r w:rsidRPr="0057493F">
        <w:rPr>
          <w:b/>
          <w:sz w:val="28"/>
          <w:szCs w:val="28"/>
        </w:rPr>
        <w:t>BAŞKENT ÜNİVERSİTESİ</w:t>
      </w:r>
    </w:p>
    <w:p w:rsidR="00C27C39" w:rsidRPr="0057493F" w:rsidRDefault="00C27C39" w:rsidP="00C27C39">
      <w:pPr>
        <w:jc w:val="center"/>
        <w:rPr>
          <w:b/>
          <w:sz w:val="28"/>
          <w:szCs w:val="28"/>
        </w:rPr>
      </w:pPr>
      <w:r w:rsidRPr="0057493F">
        <w:rPr>
          <w:b/>
          <w:sz w:val="28"/>
          <w:szCs w:val="28"/>
        </w:rPr>
        <w:t>TIP FAKÜLTESİ</w:t>
      </w:r>
    </w:p>
    <w:p w:rsidR="00C27C39" w:rsidRPr="0057493F" w:rsidRDefault="00AE2D0D" w:rsidP="00C27C39">
      <w:pPr>
        <w:jc w:val="center"/>
        <w:rPr>
          <w:b/>
          <w:sz w:val="28"/>
          <w:szCs w:val="28"/>
        </w:rPr>
      </w:pPr>
      <w:r>
        <w:rPr>
          <w:rFonts w:eastAsia="TimesNewRoman"/>
          <w:b/>
          <w:sz w:val="28"/>
          <w:szCs w:val="28"/>
        </w:rPr>
        <w:t xml:space="preserve">İÇ </w:t>
      </w:r>
      <w:r w:rsidR="004A0DB8" w:rsidRPr="00D728C9">
        <w:rPr>
          <w:rFonts w:eastAsia="TimesNewRoman"/>
          <w:b/>
          <w:sz w:val="28"/>
          <w:szCs w:val="28"/>
        </w:rPr>
        <w:t>HASTALIKLARI</w:t>
      </w:r>
      <w:r w:rsidR="00C27C39" w:rsidRPr="0057493F">
        <w:rPr>
          <w:b/>
          <w:sz w:val="28"/>
          <w:szCs w:val="28"/>
        </w:rPr>
        <w:t xml:space="preserve"> </w:t>
      </w:r>
      <w:r w:rsidR="00C27C39" w:rsidRPr="0057493F">
        <w:rPr>
          <w:b/>
          <w:color w:val="000000"/>
          <w:sz w:val="28"/>
          <w:szCs w:val="28"/>
        </w:rPr>
        <w:t>ANABİLİM D</w:t>
      </w:r>
      <w:r w:rsidR="00C27C39" w:rsidRPr="0057493F">
        <w:rPr>
          <w:b/>
          <w:sz w:val="28"/>
          <w:szCs w:val="28"/>
        </w:rPr>
        <w:t>ALI</w:t>
      </w:r>
    </w:p>
    <w:p w:rsidR="00C27C39" w:rsidRPr="0057493F" w:rsidRDefault="00C27C39" w:rsidP="00C27C39">
      <w:pPr>
        <w:jc w:val="center"/>
        <w:rPr>
          <w:b/>
          <w:sz w:val="28"/>
          <w:szCs w:val="28"/>
        </w:rPr>
      </w:pPr>
    </w:p>
    <w:p w:rsidR="00C27C39" w:rsidRPr="0057493F" w:rsidRDefault="00C27C39" w:rsidP="00C27C39">
      <w:pPr>
        <w:jc w:val="center"/>
        <w:rPr>
          <w:b/>
          <w:sz w:val="28"/>
          <w:szCs w:val="28"/>
        </w:rPr>
      </w:pPr>
    </w:p>
    <w:p w:rsidR="00B348AE" w:rsidRPr="0057493F" w:rsidRDefault="00B348AE" w:rsidP="00C27C39">
      <w:pPr>
        <w:jc w:val="center"/>
        <w:rPr>
          <w:b/>
          <w:sz w:val="28"/>
          <w:szCs w:val="28"/>
        </w:rPr>
      </w:pPr>
    </w:p>
    <w:p w:rsidR="00C27C39" w:rsidRDefault="00C27C39" w:rsidP="00C27C39">
      <w:pPr>
        <w:jc w:val="center"/>
        <w:rPr>
          <w:b/>
          <w:sz w:val="28"/>
          <w:szCs w:val="28"/>
        </w:rPr>
      </w:pPr>
    </w:p>
    <w:p w:rsidR="00AE2D0D" w:rsidRPr="0057493F" w:rsidRDefault="00AE2D0D" w:rsidP="00C27C39">
      <w:pPr>
        <w:jc w:val="center"/>
        <w:rPr>
          <w:b/>
          <w:sz w:val="28"/>
          <w:szCs w:val="28"/>
        </w:rPr>
      </w:pPr>
    </w:p>
    <w:p w:rsidR="00582A77" w:rsidRDefault="00582A77" w:rsidP="00582A77">
      <w:pPr>
        <w:jc w:val="center"/>
      </w:pPr>
      <w:r>
        <w:rPr>
          <w:b/>
          <w:sz w:val="28"/>
          <w:szCs w:val="28"/>
        </w:rPr>
        <w:t>AKUT KORONER SENDROMDA AKUT BÖBREK HASARI OLUŞUMUNA YOL AÇAN RİSK FAKTÖRLERİ</w:t>
      </w:r>
    </w:p>
    <w:p w:rsidR="00C27C39" w:rsidRDefault="00C27C39" w:rsidP="00C27C39">
      <w:pPr>
        <w:jc w:val="center"/>
        <w:rPr>
          <w:b/>
          <w:sz w:val="28"/>
          <w:szCs w:val="28"/>
        </w:rPr>
      </w:pPr>
    </w:p>
    <w:p w:rsidR="00582A77" w:rsidRPr="0057493F" w:rsidRDefault="00582A77" w:rsidP="00C27C39">
      <w:pPr>
        <w:jc w:val="center"/>
        <w:rPr>
          <w:b/>
          <w:sz w:val="28"/>
          <w:szCs w:val="28"/>
        </w:rPr>
      </w:pPr>
    </w:p>
    <w:p w:rsidR="00C27C39" w:rsidRDefault="00C27C39" w:rsidP="00C27C39">
      <w:pPr>
        <w:jc w:val="center"/>
        <w:rPr>
          <w:b/>
          <w:sz w:val="28"/>
          <w:szCs w:val="28"/>
        </w:rPr>
      </w:pPr>
    </w:p>
    <w:p w:rsidR="00671EA6" w:rsidRDefault="00671EA6" w:rsidP="00C27C39">
      <w:pPr>
        <w:jc w:val="center"/>
        <w:rPr>
          <w:b/>
          <w:sz w:val="28"/>
          <w:szCs w:val="28"/>
        </w:rPr>
      </w:pPr>
    </w:p>
    <w:p w:rsidR="00AE2D0D" w:rsidRPr="0057493F" w:rsidRDefault="00AE2D0D" w:rsidP="00C27C39">
      <w:pPr>
        <w:jc w:val="center"/>
        <w:rPr>
          <w:b/>
          <w:sz w:val="28"/>
          <w:szCs w:val="28"/>
        </w:rPr>
      </w:pPr>
    </w:p>
    <w:p w:rsidR="00B348AE" w:rsidRPr="0057493F" w:rsidRDefault="00B348AE" w:rsidP="00C27C39">
      <w:pPr>
        <w:jc w:val="center"/>
        <w:rPr>
          <w:b/>
          <w:sz w:val="28"/>
          <w:szCs w:val="28"/>
        </w:rPr>
      </w:pPr>
    </w:p>
    <w:p w:rsidR="00C27C39" w:rsidRPr="0057493F" w:rsidRDefault="00AE2D0D" w:rsidP="00C27C39">
      <w:pPr>
        <w:jc w:val="center"/>
        <w:rPr>
          <w:b/>
          <w:sz w:val="28"/>
          <w:szCs w:val="28"/>
        </w:rPr>
      </w:pPr>
      <w:r>
        <w:rPr>
          <w:b/>
          <w:sz w:val="28"/>
          <w:szCs w:val="28"/>
        </w:rPr>
        <w:t xml:space="preserve">İÇ HASTALIKLARI </w:t>
      </w:r>
      <w:r w:rsidR="00C27C39" w:rsidRPr="0057493F">
        <w:rPr>
          <w:b/>
          <w:sz w:val="28"/>
          <w:szCs w:val="28"/>
        </w:rPr>
        <w:t>UZMANLIK TEZİ</w:t>
      </w:r>
    </w:p>
    <w:p w:rsidR="00C27C39" w:rsidRPr="0057493F" w:rsidRDefault="00AE2D0D" w:rsidP="00C27C39">
      <w:pPr>
        <w:jc w:val="center"/>
        <w:rPr>
          <w:b/>
          <w:sz w:val="28"/>
          <w:szCs w:val="28"/>
        </w:rPr>
      </w:pPr>
      <w:r>
        <w:rPr>
          <w:b/>
          <w:sz w:val="28"/>
          <w:szCs w:val="28"/>
        </w:rPr>
        <w:t xml:space="preserve">Dr. </w:t>
      </w:r>
      <w:r w:rsidR="00582A77">
        <w:rPr>
          <w:b/>
          <w:sz w:val="28"/>
          <w:szCs w:val="28"/>
        </w:rPr>
        <w:t>Didem KARADUMAN</w:t>
      </w:r>
    </w:p>
    <w:p w:rsidR="00C27C39" w:rsidRDefault="00C27C39" w:rsidP="00C27C39">
      <w:pPr>
        <w:jc w:val="center"/>
        <w:rPr>
          <w:b/>
          <w:sz w:val="28"/>
          <w:szCs w:val="28"/>
        </w:rPr>
      </w:pPr>
    </w:p>
    <w:p w:rsidR="00671EA6" w:rsidRDefault="00671EA6" w:rsidP="00C27C39">
      <w:pPr>
        <w:jc w:val="center"/>
        <w:rPr>
          <w:b/>
          <w:sz w:val="28"/>
          <w:szCs w:val="28"/>
        </w:rPr>
      </w:pPr>
    </w:p>
    <w:p w:rsidR="00671EA6" w:rsidRPr="0057493F" w:rsidRDefault="00671EA6" w:rsidP="00C27C39">
      <w:pPr>
        <w:jc w:val="center"/>
        <w:rPr>
          <w:b/>
          <w:sz w:val="28"/>
          <w:szCs w:val="28"/>
        </w:rPr>
      </w:pPr>
    </w:p>
    <w:p w:rsidR="00C27C39" w:rsidRPr="0057493F" w:rsidRDefault="00C27C39" w:rsidP="00C27C39">
      <w:pPr>
        <w:jc w:val="center"/>
        <w:rPr>
          <w:b/>
          <w:sz w:val="28"/>
          <w:szCs w:val="28"/>
        </w:rPr>
      </w:pPr>
    </w:p>
    <w:p w:rsidR="00C27C39" w:rsidRPr="0057493F" w:rsidRDefault="00C27C39" w:rsidP="00C27C39">
      <w:pPr>
        <w:jc w:val="center"/>
        <w:rPr>
          <w:b/>
          <w:sz w:val="28"/>
          <w:szCs w:val="28"/>
        </w:rPr>
      </w:pPr>
    </w:p>
    <w:p w:rsidR="00305ADD" w:rsidRPr="0057493F" w:rsidRDefault="00C27C39" w:rsidP="00C27C39">
      <w:pPr>
        <w:jc w:val="center"/>
        <w:rPr>
          <w:b/>
          <w:sz w:val="28"/>
          <w:szCs w:val="28"/>
        </w:rPr>
        <w:sectPr w:rsidR="00305ADD" w:rsidRPr="0057493F" w:rsidSect="00305ADD">
          <w:footerReference w:type="default" r:id="rId9"/>
          <w:pgSz w:w="11906" w:h="16838" w:code="9"/>
          <w:pgMar w:top="1418" w:right="1418" w:bottom="1418" w:left="1701" w:header="709" w:footer="709" w:gutter="0"/>
          <w:pgNumType w:start="1"/>
          <w:cols w:space="708"/>
          <w:titlePg/>
          <w:docGrid w:linePitch="360"/>
        </w:sectPr>
      </w:pPr>
      <w:r w:rsidRPr="0057493F">
        <w:rPr>
          <w:b/>
          <w:sz w:val="28"/>
          <w:szCs w:val="28"/>
        </w:rPr>
        <w:t>Adana / 201</w:t>
      </w:r>
      <w:r w:rsidR="00AE2D0D">
        <w:rPr>
          <w:b/>
          <w:sz w:val="28"/>
          <w:szCs w:val="28"/>
        </w:rPr>
        <w:t>6</w:t>
      </w:r>
    </w:p>
    <w:p w:rsidR="00C27C39" w:rsidRPr="0057493F" w:rsidRDefault="00BE0981" w:rsidP="00C27C39">
      <w:pPr>
        <w:jc w:val="center"/>
        <w:rPr>
          <w:b/>
          <w:sz w:val="28"/>
          <w:szCs w:val="28"/>
        </w:rPr>
      </w:pPr>
      <w:r w:rsidRPr="0057493F">
        <w:rPr>
          <w:b/>
          <w:noProof/>
          <w:sz w:val="28"/>
          <w:szCs w:val="28"/>
          <w:lang w:eastAsia="tr-TR"/>
        </w:rPr>
        <w:lastRenderedPageBreak/>
        <w:drawing>
          <wp:inline distT="0" distB="0" distL="0" distR="0">
            <wp:extent cx="1280160" cy="1005840"/>
            <wp:effectExtent l="19050" t="0" r="0" b="0"/>
            <wp:docPr id="2" name="Resim 1" descr="https://www.baskent.edu.tr/amblem/baskent_amblem0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sim 1" descr="https://www.baskent.edu.tr/amblem/baskent_amblem02.gif"/>
                    <pic:cNvPicPr>
                      <a:picLocks noChangeAspect="1" noChangeArrowheads="1"/>
                    </pic:cNvPicPr>
                  </pic:nvPicPr>
                  <pic:blipFill>
                    <a:blip r:embed="rId8" cstate="print"/>
                    <a:srcRect/>
                    <a:stretch>
                      <a:fillRect/>
                    </a:stretch>
                  </pic:blipFill>
                  <pic:spPr bwMode="auto">
                    <a:xfrm>
                      <a:off x="0" y="0"/>
                      <a:ext cx="1280160" cy="1005840"/>
                    </a:xfrm>
                    <a:prstGeom prst="rect">
                      <a:avLst/>
                    </a:prstGeom>
                    <a:noFill/>
                    <a:ln w="9525">
                      <a:noFill/>
                      <a:miter lim="800000"/>
                      <a:headEnd/>
                      <a:tailEnd/>
                    </a:ln>
                  </pic:spPr>
                </pic:pic>
              </a:graphicData>
            </a:graphic>
          </wp:inline>
        </w:drawing>
      </w:r>
    </w:p>
    <w:p w:rsidR="00AE2D0D" w:rsidRPr="00AE2D0D" w:rsidRDefault="00AE2D0D" w:rsidP="00AE2D0D">
      <w:pPr>
        <w:jc w:val="center"/>
        <w:rPr>
          <w:b/>
          <w:sz w:val="28"/>
          <w:szCs w:val="28"/>
        </w:rPr>
      </w:pPr>
      <w:r w:rsidRPr="00AE2D0D">
        <w:rPr>
          <w:b/>
          <w:sz w:val="28"/>
          <w:szCs w:val="28"/>
        </w:rPr>
        <w:t>1993</w:t>
      </w:r>
    </w:p>
    <w:p w:rsidR="00C27C39" w:rsidRPr="0057493F" w:rsidRDefault="00C27C39" w:rsidP="00C27C39">
      <w:pPr>
        <w:jc w:val="center"/>
        <w:rPr>
          <w:b/>
          <w:sz w:val="28"/>
          <w:szCs w:val="28"/>
        </w:rPr>
      </w:pPr>
      <w:r w:rsidRPr="0057493F">
        <w:rPr>
          <w:b/>
          <w:sz w:val="28"/>
          <w:szCs w:val="28"/>
        </w:rPr>
        <w:t>BAŞKENT ÜNİVERSİTESİ</w:t>
      </w:r>
    </w:p>
    <w:p w:rsidR="00C27C39" w:rsidRPr="0057493F" w:rsidRDefault="00C27C39" w:rsidP="00C27C39">
      <w:pPr>
        <w:jc w:val="center"/>
        <w:rPr>
          <w:b/>
          <w:sz w:val="28"/>
          <w:szCs w:val="28"/>
        </w:rPr>
      </w:pPr>
      <w:r w:rsidRPr="0057493F">
        <w:rPr>
          <w:b/>
          <w:sz w:val="28"/>
          <w:szCs w:val="28"/>
        </w:rPr>
        <w:t>TIP FAKÜLTESİ</w:t>
      </w:r>
    </w:p>
    <w:p w:rsidR="00C27C39" w:rsidRPr="0057493F" w:rsidRDefault="00AE2D0D" w:rsidP="00C27C39">
      <w:pPr>
        <w:jc w:val="center"/>
        <w:rPr>
          <w:b/>
          <w:sz w:val="28"/>
          <w:szCs w:val="28"/>
        </w:rPr>
      </w:pPr>
      <w:r>
        <w:rPr>
          <w:rFonts w:eastAsia="TimesNewRoman"/>
          <w:b/>
          <w:sz w:val="28"/>
          <w:szCs w:val="28"/>
        </w:rPr>
        <w:t xml:space="preserve">İÇ </w:t>
      </w:r>
      <w:r w:rsidRPr="00D728C9">
        <w:rPr>
          <w:rFonts w:eastAsia="TimesNewRoman"/>
          <w:b/>
          <w:sz w:val="28"/>
          <w:szCs w:val="28"/>
        </w:rPr>
        <w:t>HASTALIKLARI</w:t>
      </w:r>
      <w:r w:rsidRPr="0057493F">
        <w:rPr>
          <w:b/>
          <w:sz w:val="28"/>
          <w:szCs w:val="28"/>
        </w:rPr>
        <w:t xml:space="preserve"> </w:t>
      </w:r>
      <w:r w:rsidR="00C27C39" w:rsidRPr="0057493F">
        <w:rPr>
          <w:b/>
          <w:color w:val="000000"/>
          <w:sz w:val="28"/>
          <w:szCs w:val="28"/>
        </w:rPr>
        <w:t xml:space="preserve">ANABİLİM </w:t>
      </w:r>
      <w:r w:rsidR="00C27C39" w:rsidRPr="0057493F">
        <w:rPr>
          <w:b/>
          <w:sz w:val="28"/>
          <w:szCs w:val="28"/>
        </w:rPr>
        <w:t>DALI</w:t>
      </w:r>
    </w:p>
    <w:p w:rsidR="00C27C39" w:rsidRPr="0057493F" w:rsidRDefault="00C27C39" w:rsidP="00C27C39">
      <w:pPr>
        <w:jc w:val="center"/>
        <w:rPr>
          <w:b/>
          <w:sz w:val="28"/>
          <w:szCs w:val="28"/>
        </w:rPr>
      </w:pPr>
    </w:p>
    <w:p w:rsidR="00C27C39" w:rsidRDefault="00C27C39" w:rsidP="00C27C39">
      <w:pPr>
        <w:jc w:val="center"/>
        <w:rPr>
          <w:b/>
          <w:sz w:val="28"/>
          <w:szCs w:val="28"/>
        </w:rPr>
      </w:pPr>
    </w:p>
    <w:p w:rsidR="00AE2D0D" w:rsidRPr="0057493F" w:rsidRDefault="00AE2D0D" w:rsidP="00C27C39">
      <w:pPr>
        <w:jc w:val="center"/>
        <w:rPr>
          <w:b/>
          <w:sz w:val="28"/>
          <w:szCs w:val="28"/>
        </w:rPr>
      </w:pPr>
    </w:p>
    <w:p w:rsidR="00582A77" w:rsidRDefault="00582A77" w:rsidP="00582A77">
      <w:pPr>
        <w:jc w:val="center"/>
      </w:pPr>
      <w:r>
        <w:rPr>
          <w:b/>
          <w:sz w:val="28"/>
          <w:szCs w:val="28"/>
        </w:rPr>
        <w:t>AKUT KORONER SENDROMDA AKUT BÖBREK HASARI OLUŞUMUNA YOL AÇAN RİSK FAKTÖRLERİ</w:t>
      </w:r>
    </w:p>
    <w:p w:rsidR="00C27C39" w:rsidRDefault="00C27C39" w:rsidP="00C27C39">
      <w:pPr>
        <w:jc w:val="center"/>
        <w:rPr>
          <w:b/>
          <w:sz w:val="28"/>
          <w:szCs w:val="28"/>
        </w:rPr>
      </w:pPr>
    </w:p>
    <w:p w:rsidR="00582A77" w:rsidRDefault="00582A77" w:rsidP="00C27C39">
      <w:pPr>
        <w:jc w:val="center"/>
        <w:rPr>
          <w:b/>
          <w:sz w:val="28"/>
          <w:szCs w:val="28"/>
        </w:rPr>
      </w:pPr>
    </w:p>
    <w:p w:rsidR="00AE2D0D" w:rsidRDefault="00AE2D0D" w:rsidP="00C27C39">
      <w:pPr>
        <w:jc w:val="center"/>
        <w:rPr>
          <w:b/>
          <w:sz w:val="28"/>
          <w:szCs w:val="28"/>
        </w:rPr>
      </w:pPr>
    </w:p>
    <w:p w:rsidR="00671EA6" w:rsidRPr="0057493F" w:rsidRDefault="00671EA6" w:rsidP="00C27C39">
      <w:pPr>
        <w:jc w:val="center"/>
        <w:rPr>
          <w:b/>
          <w:sz w:val="28"/>
          <w:szCs w:val="28"/>
        </w:rPr>
      </w:pPr>
    </w:p>
    <w:p w:rsidR="00AE2D0D" w:rsidRPr="0057493F" w:rsidRDefault="00AE2D0D" w:rsidP="00AE2D0D">
      <w:pPr>
        <w:jc w:val="center"/>
        <w:rPr>
          <w:b/>
          <w:sz w:val="28"/>
          <w:szCs w:val="28"/>
        </w:rPr>
      </w:pPr>
      <w:r>
        <w:rPr>
          <w:b/>
          <w:sz w:val="28"/>
          <w:szCs w:val="28"/>
        </w:rPr>
        <w:t xml:space="preserve">İÇ HASTALIKLARI </w:t>
      </w:r>
      <w:r w:rsidRPr="0057493F">
        <w:rPr>
          <w:b/>
          <w:sz w:val="28"/>
          <w:szCs w:val="28"/>
        </w:rPr>
        <w:t>UZMANLIK TEZİ</w:t>
      </w:r>
    </w:p>
    <w:p w:rsidR="00AE2D0D" w:rsidRPr="0057493F" w:rsidRDefault="00AE2D0D" w:rsidP="00AE2D0D">
      <w:pPr>
        <w:jc w:val="center"/>
        <w:rPr>
          <w:b/>
          <w:sz w:val="28"/>
          <w:szCs w:val="28"/>
        </w:rPr>
      </w:pPr>
      <w:r>
        <w:rPr>
          <w:b/>
          <w:sz w:val="28"/>
          <w:szCs w:val="28"/>
        </w:rPr>
        <w:t xml:space="preserve">Dr. </w:t>
      </w:r>
      <w:r w:rsidR="00582A77">
        <w:rPr>
          <w:b/>
          <w:sz w:val="28"/>
          <w:szCs w:val="28"/>
        </w:rPr>
        <w:t>Didem KARADUMAN</w:t>
      </w:r>
    </w:p>
    <w:p w:rsidR="00C27C39" w:rsidRDefault="00C27C39" w:rsidP="00C27C39">
      <w:pPr>
        <w:jc w:val="center"/>
        <w:rPr>
          <w:b/>
          <w:sz w:val="28"/>
          <w:szCs w:val="28"/>
        </w:rPr>
      </w:pPr>
    </w:p>
    <w:p w:rsidR="00671EA6" w:rsidRDefault="00671EA6" w:rsidP="00C27C39">
      <w:pPr>
        <w:jc w:val="center"/>
        <w:rPr>
          <w:b/>
          <w:sz w:val="28"/>
          <w:szCs w:val="28"/>
        </w:rPr>
      </w:pPr>
    </w:p>
    <w:p w:rsidR="00AE2D0D" w:rsidRPr="0057493F" w:rsidRDefault="00AE2D0D" w:rsidP="00C27C39">
      <w:pPr>
        <w:jc w:val="center"/>
        <w:rPr>
          <w:b/>
          <w:sz w:val="28"/>
          <w:szCs w:val="28"/>
        </w:rPr>
      </w:pPr>
    </w:p>
    <w:p w:rsidR="00C27C39" w:rsidRPr="0057493F" w:rsidRDefault="00C27C39" w:rsidP="00C27C39">
      <w:pPr>
        <w:jc w:val="center"/>
        <w:rPr>
          <w:b/>
          <w:sz w:val="28"/>
          <w:szCs w:val="28"/>
        </w:rPr>
      </w:pPr>
      <w:r w:rsidRPr="0057493F">
        <w:rPr>
          <w:b/>
          <w:sz w:val="28"/>
          <w:szCs w:val="28"/>
        </w:rPr>
        <w:t>TEZ DANIŞMANI</w:t>
      </w:r>
    </w:p>
    <w:p w:rsidR="00C27C39" w:rsidRPr="0057493F" w:rsidRDefault="00AE2D0D" w:rsidP="00C27C39">
      <w:pPr>
        <w:jc w:val="center"/>
        <w:rPr>
          <w:b/>
          <w:sz w:val="28"/>
          <w:szCs w:val="28"/>
        </w:rPr>
      </w:pPr>
      <w:r>
        <w:rPr>
          <w:b/>
          <w:sz w:val="28"/>
          <w:szCs w:val="28"/>
        </w:rPr>
        <w:t xml:space="preserve">Prof. Dr. </w:t>
      </w:r>
      <w:r w:rsidR="00582A77">
        <w:rPr>
          <w:b/>
          <w:sz w:val="28"/>
          <w:szCs w:val="28"/>
        </w:rPr>
        <w:t>Hasan MİCOZKADIOĞLU</w:t>
      </w:r>
    </w:p>
    <w:p w:rsidR="00C27C39" w:rsidRPr="0057493F" w:rsidRDefault="00C27C39" w:rsidP="00C27C39">
      <w:pPr>
        <w:jc w:val="center"/>
        <w:rPr>
          <w:b/>
          <w:sz w:val="28"/>
          <w:szCs w:val="28"/>
        </w:rPr>
      </w:pPr>
    </w:p>
    <w:p w:rsidR="00C27C39" w:rsidRPr="0057493F" w:rsidRDefault="00C27C39" w:rsidP="00742A83">
      <w:pPr>
        <w:jc w:val="center"/>
        <w:rPr>
          <w:b/>
          <w:sz w:val="28"/>
          <w:szCs w:val="28"/>
        </w:rPr>
      </w:pPr>
    </w:p>
    <w:p w:rsidR="00305ADD" w:rsidRPr="0057493F" w:rsidRDefault="00305ADD" w:rsidP="00C27C39">
      <w:pPr>
        <w:jc w:val="center"/>
        <w:rPr>
          <w:b/>
          <w:szCs w:val="28"/>
        </w:rPr>
      </w:pPr>
    </w:p>
    <w:p w:rsidR="00742A83" w:rsidRDefault="00742A83" w:rsidP="00C27C39">
      <w:pPr>
        <w:jc w:val="center"/>
        <w:rPr>
          <w:b/>
          <w:szCs w:val="28"/>
        </w:rPr>
      </w:pPr>
    </w:p>
    <w:p w:rsidR="00671EA6" w:rsidRPr="0057493F" w:rsidRDefault="00671EA6" w:rsidP="00C27C39">
      <w:pPr>
        <w:jc w:val="center"/>
        <w:rPr>
          <w:b/>
          <w:szCs w:val="28"/>
        </w:rPr>
      </w:pPr>
    </w:p>
    <w:p w:rsidR="00742A83" w:rsidRPr="0057493F" w:rsidRDefault="00742A83" w:rsidP="00742A83">
      <w:pPr>
        <w:jc w:val="center"/>
        <w:rPr>
          <w:b/>
          <w:sz w:val="28"/>
          <w:szCs w:val="28"/>
        </w:rPr>
      </w:pPr>
      <w:r w:rsidRPr="0057493F">
        <w:rPr>
          <w:b/>
          <w:sz w:val="28"/>
          <w:szCs w:val="28"/>
        </w:rPr>
        <w:t>Adana / 201</w:t>
      </w:r>
      <w:r w:rsidR="00AE2D0D">
        <w:rPr>
          <w:b/>
          <w:sz w:val="28"/>
          <w:szCs w:val="28"/>
        </w:rPr>
        <w:t>6</w:t>
      </w:r>
    </w:p>
    <w:p w:rsidR="00742A83" w:rsidRPr="0057493F" w:rsidRDefault="00742A83" w:rsidP="00C27C39">
      <w:pPr>
        <w:jc w:val="center"/>
        <w:rPr>
          <w:b/>
          <w:sz w:val="28"/>
          <w:szCs w:val="28"/>
        </w:rPr>
        <w:sectPr w:rsidR="00742A83" w:rsidRPr="0057493F" w:rsidSect="00305ADD">
          <w:pgSz w:w="11906" w:h="16838" w:code="9"/>
          <w:pgMar w:top="1418" w:right="1418" w:bottom="1418" w:left="1701" w:header="709" w:footer="709" w:gutter="0"/>
          <w:pgNumType w:start="1"/>
          <w:cols w:space="708"/>
          <w:titlePg/>
          <w:docGrid w:linePitch="360"/>
        </w:sectPr>
      </w:pPr>
    </w:p>
    <w:p w:rsidR="00C27C39" w:rsidRPr="0057493F" w:rsidRDefault="00C27C39" w:rsidP="006911F3">
      <w:pPr>
        <w:pStyle w:val="Balk1"/>
        <w:jc w:val="center"/>
        <w:rPr>
          <w:lang w:val="en-US"/>
        </w:rPr>
      </w:pPr>
      <w:bookmarkStart w:id="1" w:name="_Toc420428278"/>
      <w:bookmarkStart w:id="2" w:name="_Toc459712391"/>
      <w:r w:rsidRPr="0057493F">
        <w:rPr>
          <w:lang w:val="en-US"/>
        </w:rPr>
        <w:lastRenderedPageBreak/>
        <w:t>TEŞEKKÜR</w:t>
      </w:r>
      <w:bookmarkEnd w:id="1"/>
      <w:bookmarkEnd w:id="2"/>
    </w:p>
    <w:p w:rsidR="00C27C39" w:rsidRPr="0057493F" w:rsidRDefault="00C27C39" w:rsidP="00C27C39">
      <w:pPr>
        <w:pStyle w:val="Default"/>
        <w:spacing w:line="276" w:lineRule="auto"/>
        <w:jc w:val="center"/>
        <w:rPr>
          <w:rFonts w:ascii="Times New Roman" w:hAnsi="Times New Roman" w:cs="Times New Roman"/>
          <w:b/>
          <w:color w:val="auto"/>
          <w:lang w:val="en-US"/>
        </w:rPr>
      </w:pPr>
    </w:p>
    <w:p w:rsidR="00582A77" w:rsidRPr="00EE07F6" w:rsidRDefault="00AE2D0D" w:rsidP="00582A77">
      <w:pPr>
        <w:ind w:firstLine="708"/>
      </w:pPr>
      <w:bookmarkStart w:id="3" w:name="_Toc420428281"/>
      <w:r>
        <w:tab/>
      </w:r>
      <w:r w:rsidR="00582A77" w:rsidRPr="00EE07F6">
        <w:t xml:space="preserve">Tezimin oluşum ve hazırlık sürecinde kıymetli görüşleriyle yol gösterip, </w:t>
      </w:r>
      <w:r w:rsidR="00582A77">
        <w:t xml:space="preserve">sabırla </w:t>
      </w:r>
      <w:r w:rsidR="00582A77" w:rsidRPr="00EE07F6">
        <w:t>destek olan Sayın Prof. Dr. Hasan Micozkadıoğlu’na, uzmanlık eğitimimizde büyük emeği geçen İç Hastalıkları Anabilim dalı sorumlumuz Sayın Prof. Dr. Özgür Özyılkan'a,  görevi süresince değerli katkı ve çözümleriyle hep yanımızda olan</w:t>
      </w:r>
      <w:r w:rsidR="00582A77">
        <w:t xml:space="preserve"> </w:t>
      </w:r>
      <w:r w:rsidR="00582A77" w:rsidRPr="00EE07F6">
        <w:t>İç Hastalıkları Anabilim dalı eski sorumlumuz Say</w:t>
      </w:r>
      <w:r w:rsidR="00582A77">
        <w:t>ın Prof. Dr. Ayşegül Zümrütdal’a</w:t>
      </w:r>
      <w:r w:rsidR="00582A77" w:rsidRPr="00EE07F6">
        <w:t>, İç Hastalıkları Anabilim dalı Başkanımız Sayın Prof. Dr. Eftal Yücel'e,</w:t>
      </w:r>
      <w:r w:rsidR="00582A77">
        <w:t xml:space="preserve"> </w:t>
      </w:r>
      <w:r w:rsidR="00582A77" w:rsidRPr="00EE07F6">
        <w:t>Dekanımız Sayın Prof. Dr. Haldun Müderrisoğlu’na, Rektörümüz Sayın Prof. Dr. Ali Haberal’a ve Kurucu Rektörümüz Sayın Prof. Dr. Mehmet Haberal’a teşekkür ederim.</w:t>
      </w:r>
    </w:p>
    <w:p w:rsidR="00582A77" w:rsidRPr="00EE07F6" w:rsidRDefault="00582A77" w:rsidP="00582A77">
      <w:pPr>
        <w:ind w:firstLine="708"/>
      </w:pPr>
      <w:r w:rsidRPr="00EE07F6">
        <w:t xml:space="preserve">Uzmanlık eğitimimde her birinden çok şey öğrendiğim Başkent Hastanesi Adana Araştırma ve Uygulama Merkezinde görevli hocalarıma, Merkez Müdürümüz Sayın Prof. Dr. Ali Fuat Yapar’a, Merkez eski Müdürümüz Sayın Yrd. Doç. Dr. Turgut Noyan’a teşekkür ederim. </w:t>
      </w:r>
    </w:p>
    <w:p w:rsidR="00582A77" w:rsidRPr="00EE07F6" w:rsidRDefault="00582A77" w:rsidP="00582A77">
      <w:pPr>
        <w:ind w:firstLine="708"/>
      </w:pPr>
      <w:r w:rsidRPr="00EE07F6">
        <w:t>Her anımda yanımda olan, bana cesaret veren, öncelikle insani ve ahlaki değerleri edinmemi beraberinde</w:t>
      </w:r>
      <w:r>
        <w:t xml:space="preserve"> </w:t>
      </w:r>
      <w:r w:rsidRPr="00EE07F6">
        <w:t>iyi bir eğitim almamı sağlayan aileme minnetle teşekkür ederim.</w:t>
      </w:r>
    </w:p>
    <w:p w:rsidR="00582A77" w:rsidRDefault="00582A77" w:rsidP="00582A77">
      <w:pPr>
        <w:rPr>
          <w:b/>
        </w:rPr>
      </w:pPr>
    </w:p>
    <w:p w:rsidR="00AE2D0D" w:rsidRPr="00AE2D0D" w:rsidRDefault="00AE2D0D" w:rsidP="00582A77">
      <w:pPr>
        <w:jc w:val="right"/>
        <w:rPr>
          <w:b/>
        </w:rPr>
      </w:pPr>
      <w:r w:rsidRPr="00AE2D0D">
        <w:rPr>
          <w:b/>
        </w:rPr>
        <w:t xml:space="preserve">Dr. </w:t>
      </w:r>
      <w:r w:rsidR="00582A77">
        <w:rPr>
          <w:b/>
        </w:rPr>
        <w:t>Didem KARADUMAN</w:t>
      </w:r>
      <w:r w:rsidRPr="00AE2D0D">
        <w:rPr>
          <w:b/>
        </w:rPr>
        <w:t xml:space="preserve"> </w:t>
      </w:r>
    </w:p>
    <w:p w:rsidR="00AE2D0D" w:rsidRDefault="00AE2D0D" w:rsidP="00AE2D0D">
      <w:pPr>
        <w:jc w:val="center"/>
        <w:rPr>
          <w:b/>
          <w:sz w:val="28"/>
          <w:szCs w:val="28"/>
        </w:rPr>
      </w:pPr>
    </w:p>
    <w:p w:rsidR="00AE2D0D" w:rsidRDefault="00AE2D0D" w:rsidP="00AE2D0D">
      <w:pPr>
        <w:jc w:val="center"/>
        <w:rPr>
          <w:b/>
          <w:sz w:val="28"/>
          <w:szCs w:val="28"/>
        </w:rPr>
      </w:pPr>
    </w:p>
    <w:p w:rsidR="00AE2D0D" w:rsidRDefault="00AE2D0D">
      <w:pPr>
        <w:jc w:val="left"/>
        <w:rPr>
          <w:b/>
          <w:sz w:val="28"/>
          <w:szCs w:val="28"/>
        </w:rPr>
      </w:pPr>
      <w:r>
        <w:rPr>
          <w:b/>
          <w:sz w:val="28"/>
          <w:szCs w:val="28"/>
        </w:rPr>
        <w:br w:type="page"/>
      </w:r>
    </w:p>
    <w:p w:rsidR="00AE2D0D" w:rsidRDefault="00AE2D0D" w:rsidP="00AE2D0D">
      <w:pPr>
        <w:pStyle w:val="Balk1"/>
        <w:jc w:val="center"/>
      </w:pPr>
      <w:bookmarkStart w:id="4" w:name="_Toc459712392"/>
      <w:r w:rsidRPr="00910B4B">
        <w:lastRenderedPageBreak/>
        <w:t>ÖZET</w:t>
      </w:r>
      <w:bookmarkEnd w:id="4"/>
    </w:p>
    <w:p w:rsidR="00582A77" w:rsidRPr="00582A77" w:rsidRDefault="00582A77" w:rsidP="00582A77">
      <w:pPr>
        <w:jc w:val="center"/>
        <w:rPr>
          <w:sz w:val="20"/>
        </w:rPr>
      </w:pPr>
      <w:r w:rsidRPr="00582A77">
        <w:rPr>
          <w:b/>
          <w:szCs w:val="28"/>
        </w:rPr>
        <w:t>AKUT KORONER SENDROMDA AKUT BÖBREK HASARI OLUŞUMUNA YOL AÇAN RİSK FAKTÖRLERİ</w:t>
      </w:r>
    </w:p>
    <w:p w:rsidR="00582A77" w:rsidRPr="00AC612D" w:rsidRDefault="00582A77" w:rsidP="00500346">
      <w:pPr>
        <w:spacing w:after="120"/>
        <w:rPr>
          <w:color w:val="000000" w:themeColor="text1"/>
          <w:sz w:val="22"/>
        </w:rPr>
      </w:pPr>
      <w:r>
        <w:tab/>
      </w:r>
      <w:r w:rsidRPr="00AC612D">
        <w:rPr>
          <w:sz w:val="22"/>
        </w:rPr>
        <w:t xml:space="preserve">Akut koroner sendrom (AKS) hastalarında </w:t>
      </w:r>
      <w:r w:rsidR="000E4418" w:rsidRPr="00AC612D">
        <w:rPr>
          <w:sz w:val="22"/>
        </w:rPr>
        <w:t>a</w:t>
      </w:r>
      <w:r w:rsidRPr="00AC612D">
        <w:rPr>
          <w:sz w:val="22"/>
        </w:rPr>
        <w:t xml:space="preserve">kut </w:t>
      </w:r>
      <w:r w:rsidR="000E4418" w:rsidRPr="00AC612D">
        <w:rPr>
          <w:sz w:val="22"/>
        </w:rPr>
        <w:t>b</w:t>
      </w:r>
      <w:r w:rsidRPr="00AC612D">
        <w:rPr>
          <w:sz w:val="22"/>
        </w:rPr>
        <w:t xml:space="preserve">öbrek </w:t>
      </w:r>
      <w:r w:rsidR="000E4418" w:rsidRPr="00AC612D">
        <w:rPr>
          <w:sz w:val="22"/>
        </w:rPr>
        <w:t>h</w:t>
      </w:r>
      <w:r w:rsidRPr="00AC612D">
        <w:rPr>
          <w:sz w:val="22"/>
        </w:rPr>
        <w:t>asarına (ABH)</w:t>
      </w:r>
      <w:r w:rsidR="000E4418" w:rsidRPr="00AC612D">
        <w:rPr>
          <w:sz w:val="22"/>
        </w:rPr>
        <w:t xml:space="preserve"> </w:t>
      </w:r>
      <w:r w:rsidRPr="00AC612D">
        <w:rPr>
          <w:sz w:val="22"/>
        </w:rPr>
        <w:t xml:space="preserve">yol açan risk faktörleri ve ABH gelişim mekanizmaları hala araştırılmaktadır. </w:t>
      </w:r>
      <w:r w:rsidRPr="00AC612D">
        <w:rPr>
          <w:color w:val="000000" w:themeColor="text1"/>
          <w:sz w:val="22"/>
        </w:rPr>
        <w:t>Hastalar tetkik ve tedavi amacıyla yapılan işlemlerde kontrast maddeye maruz kalmaktadır.</w:t>
      </w:r>
      <w:r w:rsidR="000E4418" w:rsidRPr="00AC612D">
        <w:rPr>
          <w:color w:val="000000" w:themeColor="text1"/>
          <w:sz w:val="22"/>
        </w:rPr>
        <w:t xml:space="preserve"> </w:t>
      </w:r>
      <w:r w:rsidRPr="00AC612D">
        <w:rPr>
          <w:color w:val="000000" w:themeColor="text1"/>
          <w:sz w:val="22"/>
        </w:rPr>
        <w:t>Literatürde kontrast öncesi ABH ve total ABH gelişimini ayrı ayrı kıyaslayan çalışmaya rastlanmamıştır. Biz çalışmamızda total ABH gelişimi ve kontrast öncesi ABH gelişimini belirleyen risk faktörleri ve bunların mortalite ile hastane yatış süresi üzerine sonuçlarını ortaya koymayı amaçladık.</w:t>
      </w:r>
    </w:p>
    <w:p w:rsidR="00582A77" w:rsidRPr="00AC612D" w:rsidRDefault="00582A77" w:rsidP="00500346">
      <w:pPr>
        <w:spacing w:after="120"/>
        <w:rPr>
          <w:sz w:val="22"/>
        </w:rPr>
      </w:pPr>
      <w:r w:rsidRPr="00AC612D">
        <w:rPr>
          <w:sz w:val="22"/>
        </w:rPr>
        <w:tab/>
        <w:t>Akut koroner sendrom</w:t>
      </w:r>
      <w:r w:rsidR="000E4418" w:rsidRPr="00AC612D">
        <w:rPr>
          <w:sz w:val="22"/>
        </w:rPr>
        <w:t xml:space="preserve"> </w:t>
      </w:r>
      <w:r w:rsidRPr="00AC612D">
        <w:rPr>
          <w:sz w:val="22"/>
        </w:rPr>
        <w:t>tanısıyla koroner yoğun bakıma yatan,</w:t>
      </w:r>
      <w:r w:rsidR="000E4418" w:rsidRPr="00AC612D">
        <w:rPr>
          <w:sz w:val="22"/>
        </w:rPr>
        <w:t xml:space="preserve"> </w:t>
      </w:r>
      <w:r w:rsidRPr="00AC612D">
        <w:rPr>
          <w:sz w:val="22"/>
        </w:rPr>
        <w:t>ortalama yaşları 63.3 olan (94 Kadın, 227 Erkek)</w:t>
      </w:r>
      <w:r w:rsidR="000E4418" w:rsidRPr="00AC612D">
        <w:rPr>
          <w:sz w:val="22"/>
        </w:rPr>
        <w:t xml:space="preserve"> </w:t>
      </w:r>
      <w:r w:rsidRPr="00AC612D">
        <w:rPr>
          <w:sz w:val="22"/>
        </w:rPr>
        <w:t>321 hasta retrospektif olarak çalışmaya dahil edilmiştir. Kardiyojenik şok gelişimi ve hastanede furosemid kullanımı AKS'lilerde kontrast öncesi ABH gelişiminde anlamlı olan risk faktörleri olmuştur. Kardiyojenik şok saptanan hastalarda kontrast öncesi AB</w:t>
      </w:r>
      <w:r w:rsidR="000E4418" w:rsidRPr="00AC612D">
        <w:rPr>
          <w:sz w:val="22"/>
        </w:rPr>
        <w:t>H gelişme riski 5.6 kat artmıştır</w:t>
      </w:r>
      <w:r w:rsidRPr="00AC612D">
        <w:rPr>
          <w:sz w:val="22"/>
        </w:rPr>
        <w:t xml:space="preserve"> (OR=5.691, %95 GA=1.119-28.945, p=0.036), Hastanede furosemid kullanılanlarda kontrast öncesi AB</w:t>
      </w:r>
      <w:r w:rsidR="000E4418" w:rsidRPr="00AC612D">
        <w:rPr>
          <w:sz w:val="22"/>
        </w:rPr>
        <w:t>H gelişme riski 4.3 kat artmıştır</w:t>
      </w:r>
      <w:r w:rsidRPr="00AC612D">
        <w:rPr>
          <w:sz w:val="22"/>
        </w:rPr>
        <w:t xml:space="preserve"> (OR=4.395, %95 GA=1.855-10.412 p&lt;0.001).</w:t>
      </w:r>
    </w:p>
    <w:p w:rsidR="00582A77" w:rsidRPr="00AC612D" w:rsidRDefault="00582A77" w:rsidP="00500346">
      <w:pPr>
        <w:spacing w:after="120"/>
        <w:ind w:firstLine="709"/>
        <w:rPr>
          <w:sz w:val="22"/>
        </w:rPr>
      </w:pPr>
      <w:r w:rsidRPr="00AC612D">
        <w:rPr>
          <w:sz w:val="22"/>
        </w:rPr>
        <w:t xml:space="preserve">Total ABH gelişiminde en anlamlı risk faktörleri kardiyojenik şok gelişimi, hastanede furosemid kullanımı, yaş artışı ve LDL yüksekliği olmuştur. Kardiyojenik şok olan hastalarda ABH gelişme riski 11.3 kat artmaktadır (OR=11.382, %95 GA=1.940-66.781, p=0.007).  Hastanede furosemid kullanılanlarda ABH gelişme riski 5.4 kat fazladır (OR=5.439, %95 GA=2.219-13.337, p&lt;0.001). Yaşın her bir birim artışı ABH gelişme riskini %4.4 arttırmaktadır (OR=1.044, %95 GA=1.003-1.087, p=0.036). Her 1 mg/dL serum LDL seviyesiartışı ABH gelişme riskini %1,4 arttırmaktadır(OR=1.044, %95 GA=1.003-1.087, p=0.036).         </w:t>
      </w:r>
    </w:p>
    <w:p w:rsidR="00582A77" w:rsidRPr="00AC612D" w:rsidRDefault="00582A77" w:rsidP="00500346">
      <w:pPr>
        <w:spacing w:after="120"/>
        <w:ind w:firstLine="709"/>
        <w:rPr>
          <w:sz w:val="22"/>
        </w:rPr>
      </w:pPr>
      <w:r w:rsidRPr="00AC612D">
        <w:rPr>
          <w:sz w:val="22"/>
        </w:rPr>
        <w:t xml:space="preserve">Çalışmamızda hastanede yatış süresi, hem kontrast öncesi ABH olanlarda hem de total ABH olan hastalarda olmayanlara göre anlamlı olarak daha uzun bulunmuştur (p=0.001). Hastanede mortalite oranı incelendiğinde hem kontrast öncesi ABH olan hem de total ABH olan hastalarda anlamlı olarak daha yüksek bulunmuştur (p&lt;0.001). </w:t>
      </w:r>
    </w:p>
    <w:p w:rsidR="00582A77" w:rsidRPr="00AC612D" w:rsidRDefault="00582A77" w:rsidP="00500346">
      <w:pPr>
        <w:spacing w:after="120"/>
        <w:rPr>
          <w:color w:val="000000" w:themeColor="text1"/>
          <w:sz w:val="22"/>
        </w:rPr>
      </w:pPr>
      <w:r w:rsidRPr="00AC612D">
        <w:rPr>
          <w:color w:val="000000" w:themeColor="text1"/>
          <w:sz w:val="22"/>
        </w:rPr>
        <w:tab/>
        <w:t>Akut böbrek hasarı AKS hastalarında sık karşılaşılan ve önemli sonuçları olan bir komplikasyondur. Bu komplikasyonun gelişiminde kontrast maddelerin etkisi dışlandığında kardiyojenik şok gelişimi ve hastanede furosemid kullanımı en önemli risk faktörleri olarak saptanmıştır.</w:t>
      </w:r>
    </w:p>
    <w:p w:rsidR="00582A77" w:rsidRPr="00AC612D" w:rsidRDefault="00582A77" w:rsidP="00582A77">
      <w:pPr>
        <w:rPr>
          <w:sz w:val="22"/>
        </w:rPr>
      </w:pPr>
      <w:r w:rsidRPr="00AC612D">
        <w:rPr>
          <w:color w:val="000000" w:themeColor="text1"/>
          <w:sz w:val="22"/>
        </w:rPr>
        <w:t xml:space="preserve">       </w:t>
      </w:r>
      <w:r w:rsidRPr="00AC612D">
        <w:rPr>
          <w:b/>
          <w:color w:val="000000" w:themeColor="text1"/>
          <w:sz w:val="22"/>
        </w:rPr>
        <w:t xml:space="preserve">Anahtar kelimeler: </w:t>
      </w:r>
      <w:r w:rsidRPr="00AC612D">
        <w:rPr>
          <w:color w:val="000000" w:themeColor="text1"/>
          <w:sz w:val="22"/>
        </w:rPr>
        <w:t>Akut böbrek hasarı, akut koroner sendrom, kontrast madde, mortalite, AKIN</w:t>
      </w:r>
    </w:p>
    <w:p w:rsidR="00582A77" w:rsidRDefault="00582A77">
      <w:pPr>
        <w:jc w:val="left"/>
      </w:pPr>
      <w:r>
        <w:br w:type="page"/>
      </w:r>
    </w:p>
    <w:p w:rsidR="00AE2D0D" w:rsidRDefault="00AE2D0D" w:rsidP="00582A77">
      <w:pPr>
        <w:pStyle w:val="Balk1"/>
        <w:jc w:val="center"/>
      </w:pPr>
      <w:bookmarkStart w:id="5" w:name="_Toc459712393"/>
      <w:r>
        <w:lastRenderedPageBreak/>
        <w:t>ABSTRACT</w:t>
      </w:r>
      <w:bookmarkEnd w:id="5"/>
    </w:p>
    <w:p w:rsidR="00582A77" w:rsidRPr="00582A77" w:rsidRDefault="00500346" w:rsidP="00582A77">
      <w:pPr>
        <w:jc w:val="center"/>
        <w:rPr>
          <w:sz w:val="20"/>
        </w:rPr>
      </w:pPr>
      <w:r>
        <w:rPr>
          <w:b/>
          <w:szCs w:val="28"/>
        </w:rPr>
        <w:t>THE RISK FACTORS</w:t>
      </w:r>
      <w:r w:rsidR="00D37588">
        <w:rPr>
          <w:b/>
          <w:szCs w:val="28"/>
        </w:rPr>
        <w:t xml:space="preserve"> OF ACUTE KIDNEY INJURY IN ACUTE CORONARY SYNDROMES</w:t>
      </w:r>
    </w:p>
    <w:p w:rsidR="00582A77" w:rsidRPr="00AC612D" w:rsidRDefault="00582A77" w:rsidP="00582A77">
      <w:pPr>
        <w:rPr>
          <w:sz w:val="22"/>
        </w:rPr>
      </w:pPr>
      <w:r>
        <w:tab/>
      </w:r>
      <w:r w:rsidRPr="00AC612D">
        <w:rPr>
          <w:sz w:val="22"/>
        </w:rPr>
        <w:t xml:space="preserve">The risk factors and the development mechanisms of acute kidney injury (AKI) are still under investigation in acute coronary syndrome (ACS) patients. Nearly all patients  with acute coronary syndrome (ACS) were exposed to the contrast medium for the diagnosis or the treatment of ACS. No study is found comparing AKI risk factors before the administration of contrast medium and the total AKI risk factors including the contrast medium effect. In our study we aimed to determine the risk factors and outcomes (the hospital mortality and the length of hospital stay) of total AKI and pre-contrast AKI seperately.  </w:t>
      </w:r>
    </w:p>
    <w:p w:rsidR="00582A77" w:rsidRPr="00AC612D" w:rsidRDefault="00582A77" w:rsidP="00582A77">
      <w:pPr>
        <w:rPr>
          <w:sz w:val="22"/>
        </w:rPr>
      </w:pPr>
      <w:r w:rsidRPr="00AC612D">
        <w:rPr>
          <w:sz w:val="22"/>
        </w:rPr>
        <w:tab/>
        <w:t xml:space="preserve">Totally 321 patients,  who admitted to the hospital with acute coronary syndrome with a mean age of 63.3 years (94 female, 227 male) were retrieved in the study. The most important risk factors of pre-contrast AKI were cardiogenic shock and administration of furosemid at the hospital. The patients with cardiogenic shock had a 5.6-fold increased risk of pre-contrast AKI (OR=5.691, %95 CI=1.119-28.945, p=0.036). Administration of furosemid at the hospital increased the risk of pre-contrast AKIas 4.3-fold (OR=4.395, %95 CI=1.855-10.412 p&lt;0.001). </w:t>
      </w:r>
    </w:p>
    <w:p w:rsidR="00582A77" w:rsidRPr="00AC612D" w:rsidRDefault="00582A77" w:rsidP="00582A77">
      <w:pPr>
        <w:pStyle w:val="HTMLncedenBiimlendirilmi"/>
        <w:shd w:val="clear" w:color="auto" w:fill="FFFFFF"/>
        <w:spacing w:line="360" w:lineRule="auto"/>
        <w:jc w:val="both"/>
        <w:rPr>
          <w:rFonts w:ascii="Times New Roman" w:hAnsi="Times New Roman" w:cs="Times New Roman"/>
          <w:sz w:val="22"/>
          <w:szCs w:val="22"/>
        </w:rPr>
      </w:pPr>
      <w:r w:rsidRPr="00AC612D">
        <w:rPr>
          <w:rFonts w:ascii="Times New Roman" w:hAnsi="Times New Roman" w:cs="Times New Roman"/>
          <w:sz w:val="22"/>
          <w:szCs w:val="22"/>
        </w:rPr>
        <w:tab/>
        <w:t>The most important risk factors of total AKI were cardiogenic shock,</w:t>
      </w:r>
      <w:r w:rsidR="000E4418" w:rsidRPr="00AC612D">
        <w:rPr>
          <w:rFonts w:ascii="Times New Roman" w:hAnsi="Times New Roman" w:cs="Times New Roman"/>
          <w:sz w:val="22"/>
          <w:szCs w:val="22"/>
        </w:rPr>
        <w:t xml:space="preserve"> </w:t>
      </w:r>
      <w:r w:rsidRPr="00AC612D">
        <w:rPr>
          <w:rFonts w:ascii="Times New Roman" w:hAnsi="Times New Roman" w:cs="Times New Roman"/>
          <w:sz w:val="22"/>
          <w:szCs w:val="22"/>
        </w:rPr>
        <w:t>administration furosemid at the hospital,</w:t>
      </w:r>
      <w:r w:rsidR="000E4418" w:rsidRPr="00AC612D">
        <w:rPr>
          <w:rFonts w:ascii="Times New Roman" w:hAnsi="Times New Roman" w:cs="Times New Roman"/>
          <w:sz w:val="22"/>
          <w:szCs w:val="22"/>
        </w:rPr>
        <w:t xml:space="preserve"> </w:t>
      </w:r>
      <w:r w:rsidRPr="00AC612D">
        <w:rPr>
          <w:rFonts w:ascii="Times New Roman" w:hAnsi="Times New Roman" w:cs="Times New Roman"/>
          <w:sz w:val="22"/>
          <w:szCs w:val="22"/>
        </w:rPr>
        <w:t xml:space="preserve">increasing age (OR=1.044, %95 CI=1.003-1.087, p=0.036) and high serum LDL levels (OR=1.014, %95 CI=1.005-1.024, p&lt;0.001).  The patients with cardiogenic shock had an 11.3-fold increased risk of total AKI (OR=11.382, %95 CI=1.940-66.781, p=0.007). Furosemid administration at the hospital increased the risk of total AKIas 5.4-fold (OR=5.439, %95 CI=2.219-13.337, p&lt;0.001). </w:t>
      </w:r>
      <w:r w:rsidRPr="00AC612D">
        <w:rPr>
          <w:rFonts w:ascii="Times New Roman" w:hAnsi="Times New Roman" w:cs="Times New Roman"/>
          <w:color w:val="212121"/>
          <w:sz w:val="22"/>
          <w:szCs w:val="22"/>
        </w:rPr>
        <w:t xml:space="preserve">Each unit increase in age increased the risk of total AKI as 4.4% </w:t>
      </w:r>
      <w:r w:rsidRPr="00AC612D">
        <w:rPr>
          <w:rFonts w:ascii="Times New Roman" w:hAnsi="Times New Roman" w:cs="Times New Roman"/>
          <w:sz w:val="22"/>
          <w:szCs w:val="22"/>
        </w:rPr>
        <w:t xml:space="preserve">(OR=1.044, %95 CI=1.003-1.087, p=0.036). </w:t>
      </w:r>
      <w:r w:rsidRPr="00AC612D">
        <w:rPr>
          <w:rFonts w:ascii="Times New Roman" w:hAnsi="Times New Roman" w:cs="Times New Roman"/>
          <w:color w:val="212121"/>
          <w:sz w:val="22"/>
          <w:szCs w:val="22"/>
        </w:rPr>
        <w:t xml:space="preserve">Each 1 mg / dL increase in serum LDL level increased the risk of total AKI as 1.4% </w:t>
      </w:r>
      <w:r w:rsidRPr="00AC612D">
        <w:rPr>
          <w:rFonts w:ascii="Times New Roman" w:hAnsi="Times New Roman" w:cs="Times New Roman"/>
          <w:sz w:val="22"/>
          <w:szCs w:val="22"/>
        </w:rPr>
        <w:t xml:space="preserve">(OR=1.014, %95 CI=1.005-1.024, p&lt;0.001).  </w:t>
      </w:r>
    </w:p>
    <w:p w:rsidR="00582A77" w:rsidRPr="00AC612D" w:rsidRDefault="00582A77" w:rsidP="00582A77">
      <w:pPr>
        <w:rPr>
          <w:sz w:val="22"/>
        </w:rPr>
      </w:pPr>
      <w:r w:rsidRPr="00AC612D">
        <w:rPr>
          <w:sz w:val="22"/>
        </w:rPr>
        <w:tab/>
        <w:t xml:space="preserve">In this study the length of the hospital stay was found significantly longer both in pre-contrast AKI and total AKI than non-AKI patients (both p=0.001). </w:t>
      </w:r>
    </w:p>
    <w:p w:rsidR="00582A77" w:rsidRPr="00AC612D" w:rsidRDefault="00582A77" w:rsidP="00582A77">
      <w:pPr>
        <w:rPr>
          <w:sz w:val="22"/>
        </w:rPr>
      </w:pPr>
      <w:r w:rsidRPr="00AC612D">
        <w:rPr>
          <w:sz w:val="22"/>
        </w:rPr>
        <w:tab/>
        <w:t xml:space="preserve">In this study the incidence of the hospital mortality was found significantly higher both in pre-contrast AKI and total AKI than non-AKI patients (both p&lt;0.001). </w:t>
      </w:r>
    </w:p>
    <w:p w:rsidR="00582A77" w:rsidRPr="00AC612D" w:rsidRDefault="00582A77" w:rsidP="00582A77">
      <w:pPr>
        <w:rPr>
          <w:color w:val="000000" w:themeColor="text1"/>
          <w:sz w:val="22"/>
        </w:rPr>
      </w:pPr>
      <w:r w:rsidRPr="00AC612D">
        <w:rPr>
          <w:sz w:val="22"/>
        </w:rPr>
        <w:tab/>
        <w:t xml:space="preserve">AKI is a common and an important complication of ACS. </w:t>
      </w:r>
      <w:r w:rsidRPr="00AC612D">
        <w:rPr>
          <w:color w:val="000000" w:themeColor="text1"/>
          <w:sz w:val="22"/>
        </w:rPr>
        <w:t xml:space="preserve">After exclusion of exposure to contrast medium  the most important risk factors for AKI were cardiogenic shock and the administraton of furosemid at the hospital. </w:t>
      </w:r>
    </w:p>
    <w:p w:rsidR="00AE2D0D" w:rsidRPr="00AC612D" w:rsidRDefault="00582A77" w:rsidP="00582A77">
      <w:pPr>
        <w:ind w:firstLine="709"/>
        <w:rPr>
          <w:sz w:val="22"/>
        </w:rPr>
      </w:pPr>
      <w:r w:rsidRPr="00AC612D">
        <w:rPr>
          <w:b/>
          <w:sz w:val="22"/>
        </w:rPr>
        <w:t>Key words:</w:t>
      </w:r>
      <w:r w:rsidRPr="00AC612D">
        <w:rPr>
          <w:sz w:val="22"/>
        </w:rPr>
        <w:t xml:space="preserve"> Acute kidney injury, acute coronary syndrome, contrastmedium, mortality, AKI</w:t>
      </w:r>
      <w:r w:rsidR="00AE2D0D" w:rsidRPr="00AC612D">
        <w:rPr>
          <w:sz w:val="22"/>
        </w:rPr>
        <w:t>.</w:t>
      </w:r>
    </w:p>
    <w:p w:rsidR="00582A77" w:rsidRDefault="00582A77">
      <w:pPr>
        <w:jc w:val="left"/>
        <w:rPr>
          <w:rFonts w:eastAsia="Times New Roman"/>
          <w:b/>
          <w:bCs/>
          <w:kern w:val="36"/>
          <w:sz w:val="28"/>
          <w:szCs w:val="48"/>
          <w:lang w:eastAsia="tr-TR"/>
        </w:rPr>
      </w:pPr>
      <w:r>
        <w:br w:type="page"/>
      </w:r>
    </w:p>
    <w:p w:rsidR="00C27C39" w:rsidRPr="0057493F" w:rsidRDefault="00C27C39" w:rsidP="00500346">
      <w:pPr>
        <w:pStyle w:val="Balk1"/>
        <w:jc w:val="center"/>
      </w:pPr>
      <w:bookmarkStart w:id="6" w:name="_Toc459712394"/>
      <w:r w:rsidRPr="0057493F">
        <w:lastRenderedPageBreak/>
        <w:t>İÇİNDEKİLER</w:t>
      </w:r>
      <w:bookmarkEnd w:id="3"/>
      <w:bookmarkEnd w:id="6"/>
    </w:p>
    <w:p w:rsidR="00742A83" w:rsidRPr="0057493F" w:rsidRDefault="00742A83" w:rsidP="00500346">
      <w:pPr>
        <w:pStyle w:val="Balk1"/>
      </w:pPr>
    </w:p>
    <w:p w:rsidR="00655567" w:rsidRDefault="00C57A06" w:rsidP="00500346">
      <w:pPr>
        <w:pStyle w:val="T1"/>
        <w:tabs>
          <w:tab w:val="right" w:leader="dot" w:pos="8777"/>
        </w:tabs>
        <w:spacing w:after="0"/>
        <w:rPr>
          <w:rFonts w:asciiTheme="minorHAnsi" w:eastAsiaTheme="minorEastAsia" w:hAnsiTheme="minorHAnsi" w:cstheme="minorBidi"/>
          <w:noProof/>
          <w:sz w:val="22"/>
          <w:lang w:eastAsia="tr-TR"/>
        </w:rPr>
      </w:pPr>
      <w:r w:rsidRPr="0057493F">
        <w:rPr>
          <w:szCs w:val="24"/>
        </w:rPr>
        <w:fldChar w:fldCharType="begin"/>
      </w:r>
      <w:r w:rsidR="000258A7" w:rsidRPr="0057493F">
        <w:rPr>
          <w:szCs w:val="24"/>
        </w:rPr>
        <w:instrText xml:space="preserve"> TOC \o "1-5" \h \z \u </w:instrText>
      </w:r>
      <w:r w:rsidRPr="0057493F">
        <w:rPr>
          <w:szCs w:val="24"/>
        </w:rPr>
        <w:fldChar w:fldCharType="separate"/>
      </w:r>
      <w:hyperlink w:anchor="_Toc459712391" w:history="1">
        <w:r w:rsidR="00655567" w:rsidRPr="007640FD">
          <w:rPr>
            <w:rStyle w:val="Kpr"/>
            <w:noProof/>
            <w:lang w:val="en-US"/>
          </w:rPr>
          <w:t>TEŞEKKÜR</w:t>
        </w:r>
        <w:r w:rsidR="00655567">
          <w:rPr>
            <w:noProof/>
            <w:webHidden/>
          </w:rPr>
          <w:tab/>
        </w:r>
        <w:r>
          <w:rPr>
            <w:noProof/>
            <w:webHidden/>
          </w:rPr>
          <w:fldChar w:fldCharType="begin"/>
        </w:r>
        <w:r w:rsidR="00655567">
          <w:rPr>
            <w:noProof/>
            <w:webHidden/>
          </w:rPr>
          <w:instrText xml:space="preserve"> PAGEREF _Toc459712391 \h </w:instrText>
        </w:r>
        <w:r>
          <w:rPr>
            <w:noProof/>
            <w:webHidden/>
          </w:rPr>
        </w:r>
        <w:r>
          <w:rPr>
            <w:noProof/>
            <w:webHidden/>
          </w:rPr>
          <w:fldChar w:fldCharType="separate"/>
        </w:r>
        <w:r w:rsidR="001C364D">
          <w:rPr>
            <w:noProof/>
            <w:webHidden/>
          </w:rPr>
          <w:t>III</w:t>
        </w:r>
        <w:r>
          <w:rPr>
            <w:noProof/>
            <w:webHidden/>
          </w:rPr>
          <w:fldChar w:fldCharType="end"/>
        </w:r>
      </w:hyperlink>
    </w:p>
    <w:p w:rsidR="00655567" w:rsidRDefault="00C57A06" w:rsidP="00500346">
      <w:pPr>
        <w:pStyle w:val="T1"/>
        <w:tabs>
          <w:tab w:val="right" w:leader="dot" w:pos="8777"/>
        </w:tabs>
        <w:spacing w:after="0"/>
        <w:rPr>
          <w:rFonts w:asciiTheme="minorHAnsi" w:eastAsiaTheme="minorEastAsia" w:hAnsiTheme="minorHAnsi" w:cstheme="minorBidi"/>
          <w:noProof/>
          <w:sz w:val="22"/>
          <w:lang w:eastAsia="tr-TR"/>
        </w:rPr>
      </w:pPr>
      <w:hyperlink w:anchor="_Toc459712392" w:history="1">
        <w:r w:rsidR="00655567" w:rsidRPr="007640FD">
          <w:rPr>
            <w:rStyle w:val="Kpr"/>
            <w:noProof/>
          </w:rPr>
          <w:t>ÖZET</w:t>
        </w:r>
        <w:r w:rsidR="00655567">
          <w:rPr>
            <w:noProof/>
            <w:webHidden/>
          </w:rPr>
          <w:tab/>
        </w:r>
        <w:r>
          <w:rPr>
            <w:noProof/>
            <w:webHidden/>
          </w:rPr>
          <w:fldChar w:fldCharType="begin"/>
        </w:r>
        <w:r w:rsidR="00655567">
          <w:rPr>
            <w:noProof/>
            <w:webHidden/>
          </w:rPr>
          <w:instrText xml:space="preserve"> PAGEREF _Toc459712392 \h </w:instrText>
        </w:r>
        <w:r>
          <w:rPr>
            <w:noProof/>
            <w:webHidden/>
          </w:rPr>
        </w:r>
        <w:r>
          <w:rPr>
            <w:noProof/>
            <w:webHidden/>
          </w:rPr>
          <w:fldChar w:fldCharType="separate"/>
        </w:r>
        <w:r w:rsidR="001C364D">
          <w:rPr>
            <w:noProof/>
            <w:webHidden/>
          </w:rPr>
          <w:t>IV</w:t>
        </w:r>
        <w:r>
          <w:rPr>
            <w:noProof/>
            <w:webHidden/>
          </w:rPr>
          <w:fldChar w:fldCharType="end"/>
        </w:r>
      </w:hyperlink>
    </w:p>
    <w:p w:rsidR="00655567" w:rsidRDefault="00C57A06" w:rsidP="00500346">
      <w:pPr>
        <w:pStyle w:val="T1"/>
        <w:tabs>
          <w:tab w:val="right" w:leader="dot" w:pos="8777"/>
        </w:tabs>
        <w:spacing w:after="0"/>
        <w:rPr>
          <w:rFonts w:asciiTheme="minorHAnsi" w:eastAsiaTheme="minorEastAsia" w:hAnsiTheme="minorHAnsi" w:cstheme="minorBidi"/>
          <w:noProof/>
          <w:sz w:val="22"/>
          <w:lang w:eastAsia="tr-TR"/>
        </w:rPr>
      </w:pPr>
      <w:hyperlink w:anchor="_Toc459712393" w:history="1">
        <w:r w:rsidR="00655567" w:rsidRPr="007640FD">
          <w:rPr>
            <w:rStyle w:val="Kpr"/>
            <w:noProof/>
          </w:rPr>
          <w:t>ABSTRACT</w:t>
        </w:r>
        <w:r w:rsidR="00655567">
          <w:rPr>
            <w:noProof/>
            <w:webHidden/>
          </w:rPr>
          <w:tab/>
        </w:r>
        <w:r>
          <w:rPr>
            <w:noProof/>
            <w:webHidden/>
          </w:rPr>
          <w:fldChar w:fldCharType="begin"/>
        </w:r>
        <w:r w:rsidR="00655567">
          <w:rPr>
            <w:noProof/>
            <w:webHidden/>
          </w:rPr>
          <w:instrText xml:space="preserve"> PAGEREF _Toc459712393 \h </w:instrText>
        </w:r>
        <w:r>
          <w:rPr>
            <w:noProof/>
            <w:webHidden/>
          </w:rPr>
        </w:r>
        <w:r>
          <w:rPr>
            <w:noProof/>
            <w:webHidden/>
          </w:rPr>
          <w:fldChar w:fldCharType="separate"/>
        </w:r>
        <w:r w:rsidR="001C364D">
          <w:rPr>
            <w:noProof/>
            <w:webHidden/>
          </w:rPr>
          <w:t>V</w:t>
        </w:r>
        <w:r>
          <w:rPr>
            <w:noProof/>
            <w:webHidden/>
          </w:rPr>
          <w:fldChar w:fldCharType="end"/>
        </w:r>
      </w:hyperlink>
    </w:p>
    <w:p w:rsidR="00655567" w:rsidRDefault="00C57A06" w:rsidP="00500346">
      <w:pPr>
        <w:pStyle w:val="T1"/>
        <w:tabs>
          <w:tab w:val="right" w:leader="dot" w:pos="8777"/>
        </w:tabs>
        <w:spacing w:after="0"/>
        <w:rPr>
          <w:rFonts w:asciiTheme="minorHAnsi" w:eastAsiaTheme="minorEastAsia" w:hAnsiTheme="minorHAnsi" w:cstheme="minorBidi"/>
          <w:noProof/>
          <w:sz w:val="22"/>
          <w:lang w:eastAsia="tr-TR"/>
        </w:rPr>
      </w:pPr>
      <w:hyperlink w:anchor="_Toc459712394" w:history="1">
        <w:r w:rsidR="00655567" w:rsidRPr="007640FD">
          <w:rPr>
            <w:rStyle w:val="Kpr"/>
            <w:noProof/>
          </w:rPr>
          <w:t>İÇİNDEKİLER</w:t>
        </w:r>
        <w:r w:rsidR="00655567">
          <w:rPr>
            <w:noProof/>
            <w:webHidden/>
          </w:rPr>
          <w:tab/>
        </w:r>
        <w:r>
          <w:rPr>
            <w:noProof/>
            <w:webHidden/>
          </w:rPr>
          <w:fldChar w:fldCharType="begin"/>
        </w:r>
        <w:r w:rsidR="00655567">
          <w:rPr>
            <w:noProof/>
            <w:webHidden/>
          </w:rPr>
          <w:instrText xml:space="preserve"> PAGEREF _Toc459712394 \h </w:instrText>
        </w:r>
        <w:r>
          <w:rPr>
            <w:noProof/>
            <w:webHidden/>
          </w:rPr>
        </w:r>
        <w:r>
          <w:rPr>
            <w:noProof/>
            <w:webHidden/>
          </w:rPr>
          <w:fldChar w:fldCharType="separate"/>
        </w:r>
        <w:r w:rsidR="001C364D">
          <w:rPr>
            <w:noProof/>
            <w:webHidden/>
          </w:rPr>
          <w:t>VI</w:t>
        </w:r>
        <w:r>
          <w:rPr>
            <w:noProof/>
            <w:webHidden/>
          </w:rPr>
          <w:fldChar w:fldCharType="end"/>
        </w:r>
      </w:hyperlink>
    </w:p>
    <w:p w:rsidR="00655567" w:rsidRDefault="00C57A06" w:rsidP="00500346">
      <w:pPr>
        <w:pStyle w:val="T1"/>
        <w:tabs>
          <w:tab w:val="right" w:leader="dot" w:pos="8777"/>
        </w:tabs>
        <w:spacing w:after="0"/>
        <w:rPr>
          <w:rFonts w:asciiTheme="minorHAnsi" w:eastAsiaTheme="minorEastAsia" w:hAnsiTheme="minorHAnsi" w:cstheme="minorBidi"/>
          <w:noProof/>
          <w:sz w:val="22"/>
          <w:lang w:eastAsia="tr-TR"/>
        </w:rPr>
      </w:pPr>
      <w:hyperlink w:anchor="_Toc459712395" w:history="1">
        <w:r w:rsidR="00655567" w:rsidRPr="007640FD">
          <w:rPr>
            <w:rStyle w:val="Kpr"/>
            <w:noProof/>
          </w:rPr>
          <w:t>KISALTMALAR</w:t>
        </w:r>
        <w:r w:rsidR="00655567">
          <w:rPr>
            <w:noProof/>
            <w:webHidden/>
          </w:rPr>
          <w:tab/>
        </w:r>
        <w:r>
          <w:rPr>
            <w:noProof/>
            <w:webHidden/>
          </w:rPr>
          <w:fldChar w:fldCharType="begin"/>
        </w:r>
        <w:r w:rsidR="00655567">
          <w:rPr>
            <w:noProof/>
            <w:webHidden/>
          </w:rPr>
          <w:instrText xml:space="preserve"> PAGEREF _Toc459712395 \h </w:instrText>
        </w:r>
        <w:r>
          <w:rPr>
            <w:noProof/>
            <w:webHidden/>
          </w:rPr>
        </w:r>
        <w:r>
          <w:rPr>
            <w:noProof/>
            <w:webHidden/>
          </w:rPr>
          <w:fldChar w:fldCharType="separate"/>
        </w:r>
        <w:r w:rsidR="001C364D">
          <w:rPr>
            <w:noProof/>
            <w:webHidden/>
          </w:rPr>
          <w:t>VII</w:t>
        </w:r>
        <w:r>
          <w:rPr>
            <w:noProof/>
            <w:webHidden/>
          </w:rPr>
          <w:fldChar w:fldCharType="end"/>
        </w:r>
      </w:hyperlink>
    </w:p>
    <w:p w:rsidR="00655567" w:rsidRDefault="00C57A06" w:rsidP="00500346">
      <w:pPr>
        <w:pStyle w:val="T1"/>
        <w:tabs>
          <w:tab w:val="right" w:leader="dot" w:pos="8777"/>
        </w:tabs>
        <w:spacing w:after="0"/>
        <w:rPr>
          <w:rFonts w:asciiTheme="minorHAnsi" w:eastAsiaTheme="minorEastAsia" w:hAnsiTheme="minorHAnsi" w:cstheme="minorBidi"/>
          <w:noProof/>
          <w:sz w:val="22"/>
          <w:lang w:eastAsia="tr-TR"/>
        </w:rPr>
      </w:pPr>
      <w:hyperlink w:anchor="_Toc459712396" w:history="1">
        <w:r w:rsidR="00655567" w:rsidRPr="007640FD">
          <w:rPr>
            <w:rStyle w:val="Kpr"/>
            <w:noProof/>
          </w:rPr>
          <w:t>ŞEKİLLER DİZİNİ</w:t>
        </w:r>
        <w:r w:rsidR="00655567">
          <w:rPr>
            <w:noProof/>
            <w:webHidden/>
          </w:rPr>
          <w:tab/>
        </w:r>
        <w:r>
          <w:rPr>
            <w:noProof/>
            <w:webHidden/>
          </w:rPr>
          <w:fldChar w:fldCharType="begin"/>
        </w:r>
        <w:r w:rsidR="00655567">
          <w:rPr>
            <w:noProof/>
            <w:webHidden/>
          </w:rPr>
          <w:instrText xml:space="preserve"> PAGEREF _Toc459712396 \h </w:instrText>
        </w:r>
        <w:r>
          <w:rPr>
            <w:noProof/>
            <w:webHidden/>
          </w:rPr>
        </w:r>
        <w:r>
          <w:rPr>
            <w:noProof/>
            <w:webHidden/>
          </w:rPr>
          <w:fldChar w:fldCharType="separate"/>
        </w:r>
        <w:r w:rsidR="001C364D">
          <w:rPr>
            <w:noProof/>
            <w:webHidden/>
          </w:rPr>
          <w:t>IX</w:t>
        </w:r>
        <w:r>
          <w:rPr>
            <w:noProof/>
            <w:webHidden/>
          </w:rPr>
          <w:fldChar w:fldCharType="end"/>
        </w:r>
      </w:hyperlink>
    </w:p>
    <w:p w:rsidR="00655567" w:rsidRDefault="00C57A06" w:rsidP="00500346">
      <w:pPr>
        <w:pStyle w:val="T1"/>
        <w:tabs>
          <w:tab w:val="right" w:leader="dot" w:pos="8777"/>
        </w:tabs>
        <w:spacing w:after="0"/>
        <w:rPr>
          <w:rFonts w:asciiTheme="minorHAnsi" w:eastAsiaTheme="minorEastAsia" w:hAnsiTheme="minorHAnsi" w:cstheme="minorBidi"/>
          <w:noProof/>
          <w:sz w:val="22"/>
          <w:lang w:eastAsia="tr-TR"/>
        </w:rPr>
      </w:pPr>
      <w:hyperlink w:anchor="_Toc459712397" w:history="1">
        <w:r w:rsidR="00655567" w:rsidRPr="007640FD">
          <w:rPr>
            <w:rStyle w:val="Kpr"/>
            <w:noProof/>
          </w:rPr>
          <w:t>TABLOLAR DİZİNİ</w:t>
        </w:r>
        <w:r w:rsidR="00655567">
          <w:rPr>
            <w:noProof/>
            <w:webHidden/>
          </w:rPr>
          <w:tab/>
        </w:r>
        <w:r>
          <w:rPr>
            <w:noProof/>
            <w:webHidden/>
          </w:rPr>
          <w:fldChar w:fldCharType="begin"/>
        </w:r>
        <w:r w:rsidR="00655567">
          <w:rPr>
            <w:noProof/>
            <w:webHidden/>
          </w:rPr>
          <w:instrText xml:space="preserve"> PAGEREF _Toc459712397 \h </w:instrText>
        </w:r>
        <w:r>
          <w:rPr>
            <w:noProof/>
            <w:webHidden/>
          </w:rPr>
        </w:r>
        <w:r>
          <w:rPr>
            <w:noProof/>
            <w:webHidden/>
          </w:rPr>
          <w:fldChar w:fldCharType="separate"/>
        </w:r>
        <w:r w:rsidR="001C364D">
          <w:rPr>
            <w:noProof/>
            <w:webHidden/>
          </w:rPr>
          <w:t>X</w:t>
        </w:r>
        <w:r>
          <w:rPr>
            <w:noProof/>
            <w:webHidden/>
          </w:rPr>
          <w:fldChar w:fldCharType="end"/>
        </w:r>
      </w:hyperlink>
    </w:p>
    <w:p w:rsidR="00655567" w:rsidRDefault="00C57A06" w:rsidP="00500346">
      <w:pPr>
        <w:pStyle w:val="T1"/>
        <w:tabs>
          <w:tab w:val="right" w:leader="dot" w:pos="8777"/>
        </w:tabs>
        <w:spacing w:after="0"/>
        <w:rPr>
          <w:rFonts w:asciiTheme="minorHAnsi" w:eastAsiaTheme="minorEastAsia" w:hAnsiTheme="minorHAnsi" w:cstheme="minorBidi"/>
          <w:noProof/>
          <w:sz w:val="22"/>
          <w:lang w:eastAsia="tr-TR"/>
        </w:rPr>
      </w:pPr>
      <w:hyperlink w:anchor="_Toc459712398" w:history="1">
        <w:r w:rsidR="00655567" w:rsidRPr="007640FD">
          <w:rPr>
            <w:rStyle w:val="Kpr"/>
            <w:noProof/>
          </w:rPr>
          <w:t>1. GİRİŞ ve AMAÇ</w:t>
        </w:r>
        <w:r w:rsidR="00655567">
          <w:rPr>
            <w:noProof/>
            <w:webHidden/>
          </w:rPr>
          <w:tab/>
        </w:r>
        <w:r>
          <w:rPr>
            <w:noProof/>
            <w:webHidden/>
          </w:rPr>
          <w:fldChar w:fldCharType="begin"/>
        </w:r>
        <w:r w:rsidR="00655567">
          <w:rPr>
            <w:noProof/>
            <w:webHidden/>
          </w:rPr>
          <w:instrText xml:space="preserve"> PAGEREF _Toc459712398 \h </w:instrText>
        </w:r>
        <w:r>
          <w:rPr>
            <w:noProof/>
            <w:webHidden/>
          </w:rPr>
        </w:r>
        <w:r>
          <w:rPr>
            <w:noProof/>
            <w:webHidden/>
          </w:rPr>
          <w:fldChar w:fldCharType="separate"/>
        </w:r>
        <w:r w:rsidR="001C364D">
          <w:rPr>
            <w:noProof/>
            <w:webHidden/>
          </w:rPr>
          <w:t>1</w:t>
        </w:r>
        <w:r>
          <w:rPr>
            <w:noProof/>
            <w:webHidden/>
          </w:rPr>
          <w:fldChar w:fldCharType="end"/>
        </w:r>
      </w:hyperlink>
    </w:p>
    <w:p w:rsidR="00655567" w:rsidRDefault="00C57A06" w:rsidP="00500346">
      <w:pPr>
        <w:pStyle w:val="T1"/>
        <w:tabs>
          <w:tab w:val="right" w:leader="dot" w:pos="8777"/>
        </w:tabs>
        <w:spacing w:after="0"/>
        <w:rPr>
          <w:rFonts w:asciiTheme="minorHAnsi" w:eastAsiaTheme="minorEastAsia" w:hAnsiTheme="minorHAnsi" w:cstheme="minorBidi"/>
          <w:noProof/>
          <w:sz w:val="22"/>
          <w:lang w:eastAsia="tr-TR"/>
        </w:rPr>
      </w:pPr>
      <w:hyperlink w:anchor="_Toc459712399" w:history="1">
        <w:r w:rsidR="00655567" w:rsidRPr="007640FD">
          <w:rPr>
            <w:rStyle w:val="Kpr"/>
            <w:noProof/>
          </w:rPr>
          <w:t>2. GENEL BİLGİLER</w:t>
        </w:r>
        <w:r w:rsidR="00655567">
          <w:rPr>
            <w:noProof/>
            <w:webHidden/>
          </w:rPr>
          <w:tab/>
        </w:r>
        <w:r>
          <w:rPr>
            <w:noProof/>
            <w:webHidden/>
          </w:rPr>
          <w:fldChar w:fldCharType="begin"/>
        </w:r>
        <w:r w:rsidR="00655567">
          <w:rPr>
            <w:noProof/>
            <w:webHidden/>
          </w:rPr>
          <w:instrText xml:space="preserve"> PAGEREF _Toc459712399 \h </w:instrText>
        </w:r>
        <w:r>
          <w:rPr>
            <w:noProof/>
            <w:webHidden/>
          </w:rPr>
        </w:r>
        <w:r>
          <w:rPr>
            <w:noProof/>
            <w:webHidden/>
          </w:rPr>
          <w:fldChar w:fldCharType="separate"/>
        </w:r>
        <w:r w:rsidR="001C364D">
          <w:rPr>
            <w:noProof/>
            <w:webHidden/>
          </w:rPr>
          <w:t>2</w:t>
        </w:r>
        <w:r>
          <w:rPr>
            <w:noProof/>
            <w:webHidden/>
          </w:rPr>
          <w:fldChar w:fldCharType="end"/>
        </w:r>
      </w:hyperlink>
    </w:p>
    <w:p w:rsidR="00655567" w:rsidRDefault="00C57A06" w:rsidP="00500346">
      <w:pPr>
        <w:pStyle w:val="T2"/>
        <w:tabs>
          <w:tab w:val="right" w:leader="dot" w:pos="8777"/>
        </w:tabs>
        <w:spacing w:after="0"/>
        <w:rPr>
          <w:rFonts w:asciiTheme="minorHAnsi" w:eastAsiaTheme="minorEastAsia" w:hAnsiTheme="minorHAnsi" w:cstheme="minorBidi"/>
          <w:noProof/>
          <w:sz w:val="22"/>
          <w:lang w:eastAsia="tr-TR"/>
        </w:rPr>
      </w:pPr>
      <w:hyperlink w:anchor="_Toc459712400" w:history="1">
        <w:r w:rsidR="00655567" w:rsidRPr="007640FD">
          <w:rPr>
            <w:rStyle w:val="Kpr"/>
            <w:noProof/>
          </w:rPr>
          <w:t>2.1. Akut Böbrek Hasarı Tanımı ve Epidemiyolojisi</w:t>
        </w:r>
        <w:r w:rsidR="00655567">
          <w:rPr>
            <w:noProof/>
            <w:webHidden/>
          </w:rPr>
          <w:tab/>
        </w:r>
        <w:r>
          <w:rPr>
            <w:noProof/>
            <w:webHidden/>
          </w:rPr>
          <w:fldChar w:fldCharType="begin"/>
        </w:r>
        <w:r w:rsidR="00655567">
          <w:rPr>
            <w:noProof/>
            <w:webHidden/>
          </w:rPr>
          <w:instrText xml:space="preserve"> PAGEREF _Toc459712400 \h </w:instrText>
        </w:r>
        <w:r>
          <w:rPr>
            <w:noProof/>
            <w:webHidden/>
          </w:rPr>
        </w:r>
        <w:r>
          <w:rPr>
            <w:noProof/>
            <w:webHidden/>
          </w:rPr>
          <w:fldChar w:fldCharType="separate"/>
        </w:r>
        <w:r w:rsidR="001C364D">
          <w:rPr>
            <w:noProof/>
            <w:webHidden/>
          </w:rPr>
          <w:t>2</w:t>
        </w:r>
        <w:r>
          <w:rPr>
            <w:noProof/>
            <w:webHidden/>
          </w:rPr>
          <w:fldChar w:fldCharType="end"/>
        </w:r>
      </w:hyperlink>
    </w:p>
    <w:p w:rsidR="00655567" w:rsidRDefault="00C57A06" w:rsidP="00500346">
      <w:pPr>
        <w:pStyle w:val="T2"/>
        <w:tabs>
          <w:tab w:val="right" w:leader="dot" w:pos="8777"/>
        </w:tabs>
        <w:spacing w:after="0"/>
        <w:rPr>
          <w:rFonts w:asciiTheme="minorHAnsi" w:eastAsiaTheme="minorEastAsia" w:hAnsiTheme="minorHAnsi" w:cstheme="minorBidi"/>
          <w:noProof/>
          <w:sz w:val="22"/>
          <w:lang w:eastAsia="tr-TR"/>
        </w:rPr>
      </w:pPr>
      <w:hyperlink w:anchor="_Toc459712401" w:history="1">
        <w:r w:rsidR="00655567" w:rsidRPr="007640FD">
          <w:rPr>
            <w:rStyle w:val="Kpr"/>
            <w:noProof/>
          </w:rPr>
          <w:t>2.2. Patogenez ve Etiyoloji</w:t>
        </w:r>
        <w:r w:rsidR="00655567">
          <w:rPr>
            <w:noProof/>
            <w:webHidden/>
          </w:rPr>
          <w:tab/>
        </w:r>
        <w:r>
          <w:rPr>
            <w:noProof/>
            <w:webHidden/>
          </w:rPr>
          <w:fldChar w:fldCharType="begin"/>
        </w:r>
        <w:r w:rsidR="00655567">
          <w:rPr>
            <w:noProof/>
            <w:webHidden/>
          </w:rPr>
          <w:instrText xml:space="preserve"> PAGEREF _Toc459712401 \h </w:instrText>
        </w:r>
        <w:r>
          <w:rPr>
            <w:noProof/>
            <w:webHidden/>
          </w:rPr>
        </w:r>
        <w:r>
          <w:rPr>
            <w:noProof/>
            <w:webHidden/>
          </w:rPr>
          <w:fldChar w:fldCharType="separate"/>
        </w:r>
        <w:r w:rsidR="001C364D">
          <w:rPr>
            <w:noProof/>
            <w:webHidden/>
          </w:rPr>
          <w:t>2</w:t>
        </w:r>
        <w:r>
          <w:rPr>
            <w:noProof/>
            <w:webHidden/>
          </w:rPr>
          <w:fldChar w:fldCharType="end"/>
        </w:r>
      </w:hyperlink>
    </w:p>
    <w:p w:rsidR="00655567" w:rsidRDefault="00C57A06" w:rsidP="00500346">
      <w:pPr>
        <w:pStyle w:val="T3"/>
        <w:rPr>
          <w:rFonts w:asciiTheme="minorHAnsi" w:eastAsiaTheme="minorEastAsia" w:hAnsiTheme="minorHAnsi" w:cstheme="minorBidi"/>
          <w:noProof/>
          <w:sz w:val="22"/>
          <w:lang w:eastAsia="tr-TR"/>
        </w:rPr>
      </w:pPr>
      <w:hyperlink w:anchor="_Toc459712402" w:history="1">
        <w:r w:rsidR="00655567" w:rsidRPr="007640FD">
          <w:rPr>
            <w:rStyle w:val="Kpr"/>
            <w:noProof/>
          </w:rPr>
          <w:t>2.2.1. Patogenez</w:t>
        </w:r>
        <w:r w:rsidR="00655567">
          <w:rPr>
            <w:noProof/>
            <w:webHidden/>
          </w:rPr>
          <w:tab/>
        </w:r>
        <w:r>
          <w:rPr>
            <w:noProof/>
            <w:webHidden/>
          </w:rPr>
          <w:fldChar w:fldCharType="begin"/>
        </w:r>
        <w:r w:rsidR="00655567">
          <w:rPr>
            <w:noProof/>
            <w:webHidden/>
          </w:rPr>
          <w:instrText xml:space="preserve"> PAGEREF _Toc459712402 \h </w:instrText>
        </w:r>
        <w:r>
          <w:rPr>
            <w:noProof/>
            <w:webHidden/>
          </w:rPr>
        </w:r>
        <w:r>
          <w:rPr>
            <w:noProof/>
            <w:webHidden/>
          </w:rPr>
          <w:fldChar w:fldCharType="separate"/>
        </w:r>
        <w:r w:rsidR="001C364D">
          <w:rPr>
            <w:noProof/>
            <w:webHidden/>
          </w:rPr>
          <w:t>2</w:t>
        </w:r>
        <w:r>
          <w:rPr>
            <w:noProof/>
            <w:webHidden/>
          </w:rPr>
          <w:fldChar w:fldCharType="end"/>
        </w:r>
      </w:hyperlink>
    </w:p>
    <w:p w:rsidR="00655567" w:rsidRDefault="00C57A06" w:rsidP="00500346">
      <w:pPr>
        <w:pStyle w:val="T3"/>
        <w:rPr>
          <w:rFonts w:asciiTheme="minorHAnsi" w:eastAsiaTheme="minorEastAsia" w:hAnsiTheme="minorHAnsi" w:cstheme="minorBidi"/>
          <w:noProof/>
          <w:sz w:val="22"/>
          <w:lang w:eastAsia="tr-TR"/>
        </w:rPr>
      </w:pPr>
      <w:hyperlink w:anchor="_Toc459712403" w:history="1">
        <w:r w:rsidR="00655567" w:rsidRPr="007640FD">
          <w:rPr>
            <w:rStyle w:val="Kpr"/>
            <w:noProof/>
          </w:rPr>
          <w:t>2.2.2. Prerenal ABH (Prerenal Azotemi)</w:t>
        </w:r>
        <w:r w:rsidR="00655567">
          <w:rPr>
            <w:noProof/>
            <w:webHidden/>
          </w:rPr>
          <w:tab/>
        </w:r>
        <w:r>
          <w:rPr>
            <w:noProof/>
            <w:webHidden/>
          </w:rPr>
          <w:fldChar w:fldCharType="begin"/>
        </w:r>
        <w:r w:rsidR="00655567">
          <w:rPr>
            <w:noProof/>
            <w:webHidden/>
          </w:rPr>
          <w:instrText xml:space="preserve"> PAGEREF _Toc459712403 \h </w:instrText>
        </w:r>
        <w:r>
          <w:rPr>
            <w:noProof/>
            <w:webHidden/>
          </w:rPr>
        </w:r>
        <w:r>
          <w:rPr>
            <w:noProof/>
            <w:webHidden/>
          </w:rPr>
          <w:fldChar w:fldCharType="separate"/>
        </w:r>
        <w:r w:rsidR="001C364D">
          <w:rPr>
            <w:noProof/>
            <w:webHidden/>
          </w:rPr>
          <w:t>3</w:t>
        </w:r>
        <w:r>
          <w:rPr>
            <w:noProof/>
            <w:webHidden/>
          </w:rPr>
          <w:fldChar w:fldCharType="end"/>
        </w:r>
      </w:hyperlink>
    </w:p>
    <w:p w:rsidR="00655567" w:rsidRDefault="00C57A06" w:rsidP="00500346">
      <w:pPr>
        <w:pStyle w:val="T3"/>
        <w:rPr>
          <w:rFonts w:asciiTheme="minorHAnsi" w:eastAsiaTheme="minorEastAsia" w:hAnsiTheme="minorHAnsi" w:cstheme="minorBidi"/>
          <w:noProof/>
          <w:sz w:val="22"/>
          <w:lang w:eastAsia="tr-TR"/>
        </w:rPr>
      </w:pPr>
      <w:hyperlink w:anchor="_Toc459712404" w:history="1">
        <w:r w:rsidR="00655567" w:rsidRPr="007640FD">
          <w:rPr>
            <w:rStyle w:val="Kpr"/>
            <w:noProof/>
          </w:rPr>
          <w:t>2.2.3. Renal  (İntrinsik) Akut Böbrek Hasarı</w:t>
        </w:r>
        <w:r w:rsidR="00655567">
          <w:rPr>
            <w:noProof/>
            <w:webHidden/>
          </w:rPr>
          <w:tab/>
        </w:r>
        <w:r>
          <w:rPr>
            <w:noProof/>
            <w:webHidden/>
          </w:rPr>
          <w:fldChar w:fldCharType="begin"/>
        </w:r>
        <w:r w:rsidR="00655567">
          <w:rPr>
            <w:noProof/>
            <w:webHidden/>
          </w:rPr>
          <w:instrText xml:space="preserve"> PAGEREF _Toc459712404 \h </w:instrText>
        </w:r>
        <w:r>
          <w:rPr>
            <w:noProof/>
            <w:webHidden/>
          </w:rPr>
        </w:r>
        <w:r>
          <w:rPr>
            <w:noProof/>
            <w:webHidden/>
          </w:rPr>
          <w:fldChar w:fldCharType="separate"/>
        </w:r>
        <w:r w:rsidR="001C364D">
          <w:rPr>
            <w:noProof/>
            <w:webHidden/>
          </w:rPr>
          <w:t>4</w:t>
        </w:r>
        <w:r>
          <w:rPr>
            <w:noProof/>
            <w:webHidden/>
          </w:rPr>
          <w:fldChar w:fldCharType="end"/>
        </w:r>
      </w:hyperlink>
    </w:p>
    <w:p w:rsidR="00655567" w:rsidRDefault="00C57A06" w:rsidP="00500346">
      <w:pPr>
        <w:pStyle w:val="T3"/>
        <w:rPr>
          <w:rFonts w:asciiTheme="minorHAnsi" w:eastAsiaTheme="minorEastAsia" w:hAnsiTheme="minorHAnsi" w:cstheme="minorBidi"/>
          <w:noProof/>
          <w:sz w:val="22"/>
          <w:lang w:eastAsia="tr-TR"/>
        </w:rPr>
      </w:pPr>
      <w:hyperlink w:anchor="_Toc459712405" w:history="1">
        <w:r w:rsidR="00655567" w:rsidRPr="007640FD">
          <w:rPr>
            <w:rStyle w:val="Kpr"/>
            <w:noProof/>
          </w:rPr>
          <w:t>2.2.4. Postrenal Akut Böbrek Hasarı</w:t>
        </w:r>
        <w:r w:rsidR="00655567">
          <w:rPr>
            <w:noProof/>
            <w:webHidden/>
          </w:rPr>
          <w:tab/>
        </w:r>
        <w:r>
          <w:rPr>
            <w:noProof/>
            <w:webHidden/>
          </w:rPr>
          <w:fldChar w:fldCharType="begin"/>
        </w:r>
        <w:r w:rsidR="00655567">
          <w:rPr>
            <w:noProof/>
            <w:webHidden/>
          </w:rPr>
          <w:instrText xml:space="preserve"> PAGEREF _Toc459712405 \h </w:instrText>
        </w:r>
        <w:r>
          <w:rPr>
            <w:noProof/>
            <w:webHidden/>
          </w:rPr>
        </w:r>
        <w:r>
          <w:rPr>
            <w:noProof/>
            <w:webHidden/>
          </w:rPr>
          <w:fldChar w:fldCharType="separate"/>
        </w:r>
        <w:r w:rsidR="001C364D">
          <w:rPr>
            <w:noProof/>
            <w:webHidden/>
          </w:rPr>
          <w:t>7</w:t>
        </w:r>
        <w:r>
          <w:rPr>
            <w:noProof/>
            <w:webHidden/>
          </w:rPr>
          <w:fldChar w:fldCharType="end"/>
        </w:r>
      </w:hyperlink>
    </w:p>
    <w:p w:rsidR="00655567" w:rsidRDefault="00C57A06" w:rsidP="00500346">
      <w:pPr>
        <w:pStyle w:val="T2"/>
        <w:tabs>
          <w:tab w:val="right" w:leader="dot" w:pos="8777"/>
        </w:tabs>
        <w:spacing w:after="0"/>
        <w:rPr>
          <w:rFonts w:asciiTheme="minorHAnsi" w:eastAsiaTheme="minorEastAsia" w:hAnsiTheme="minorHAnsi" w:cstheme="minorBidi"/>
          <w:noProof/>
          <w:sz w:val="22"/>
          <w:lang w:eastAsia="tr-TR"/>
        </w:rPr>
      </w:pPr>
      <w:hyperlink w:anchor="_Toc459712406" w:history="1">
        <w:r w:rsidR="00655567" w:rsidRPr="007640FD">
          <w:rPr>
            <w:rStyle w:val="Kpr"/>
            <w:noProof/>
          </w:rPr>
          <w:t>2.3. ABH'ye Tanısal Yaklaşım</w:t>
        </w:r>
        <w:r w:rsidR="00655567">
          <w:rPr>
            <w:noProof/>
            <w:webHidden/>
          </w:rPr>
          <w:tab/>
        </w:r>
        <w:r>
          <w:rPr>
            <w:noProof/>
            <w:webHidden/>
          </w:rPr>
          <w:fldChar w:fldCharType="begin"/>
        </w:r>
        <w:r w:rsidR="00655567">
          <w:rPr>
            <w:noProof/>
            <w:webHidden/>
          </w:rPr>
          <w:instrText xml:space="preserve"> PAGEREF _Toc459712406 \h </w:instrText>
        </w:r>
        <w:r>
          <w:rPr>
            <w:noProof/>
            <w:webHidden/>
          </w:rPr>
        </w:r>
        <w:r>
          <w:rPr>
            <w:noProof/>
            <w:webHidden/>
          </w:rPr>
          <w:fldChar w:fldCharType="separate"/>
        </w:r>
        <w:r w:rsidR="001C364D">
          <w:rPr>
            <w:noProof/>
            <w:webHidden/>
          </w:rPr>
          <w:t>8</w:t>
        </w:r>
        <w:r>
          <w:rPr>
            <w:noProof/>
            <w:webHidden/>
          </w:rPr>
          <w:fldChar w:fldCharType="end"/>
        </w:r>
      </w:hyperlink>
    </w:p>
    <w:p w:rsidR="00655567" w:rsidRDefault="00C57A06" w:rsidP="00500346">
      <w:pPr>
        <w:pStyle w:val="T3"/>
        <w:rPr>
          <w:rFonts w:asciiTheme="minorHAnsi" w:eastAsiaTheme="minorEastAsia" w:hAnsiTheme="minorHAnsi" w:cstheme="minorBidi"/>
          <w:noProof/>
          <w:sz w:val="22"/>
          <w:lang w:eastAsia="tr-TR"/>
        </w:rPr>
      </w:pPr>
      <w:hyperlink w:anchor="_Toc459712407" w:history="1">
        <w:r w:rsidR="00655567" w:rsidRPr="007640FD">
          <w:rPr>
            <w:rStyle w:val="Kpr"/>
            <w:noProof/>
          </w:rPr>
          <w:t>2.3.1. ABH Tanı Kriterleri</w:t>
        </w:r>
        <w:r w:rsidR="00655567">
          <w:rPr>
            <w:noProof/>
            <w:webHidden/>
          </w:rPr>
          <w:tab/>
        </w:r>
        <w:r>
          <w:rPr>
            <w:noProof/>
            <w:webHidden/>
          </w:rPr>
          <w:fldChar w:fldCharType="begin"/>
        </w:r>
        <w:r w:rsidR="00655567">
          <w:rPr>
            <w:noProof/>
            <w:webHidden/>
          </w:rPr>
          <w:instrText xml:space="preserve"> PAGEREF _Toc459712407 \h </w:instrText>
        </w:r>
        <w:r>
          <w:rPr>
            <w:noProof/>
            <w:webHidden/>
          </w:rPr>
        </w:r>
        <w:r>
          <w:rPr>
            <w:noProof/>
            <w:webHidden/>
          </w:rPr>
          <w:fldChar w:fldCharType="separate"/>
        </w:r>
        <w:r w:rsidR="001C364D">
          <w:rPr>
            <w:noProof/>
            <w:webHidden/>
          </w:rPr>
          <w:t>10</w:t>
        </w:r>
        <w:r>
          <w:rPr>
            <w:noProof/>
            <w:webHidden/>
          </w:rPr>
          <w:fldChar w:fldCharType="end"/>
        </w:r>
      </w:hyperlink>
    </w:p>
    <w:p w:rsidR="00655567" w:rsidRDefault="00C57A06" w:rsidP="00500346">
      <w:pPr>
        <w:pStyle w:val="T4"/>
        <w:rPr>
          <w:rFonts w:asciiTheme="minorHAnsi" w:eastAsiaTheme="minorEastAsia" w:hAnsiTheme="minorHAnsi" w:cstheme="minorBidi"/>
          <w:noProof/>
          <w:sz w:val="22"/>
          <w:lang w:eastAsia="tr-TR"/>
        </w:rPr>
      </w:pPr>
      <w:hyperlink w:anchor="_Toc459712408" w:history="1">
        <w:r w:rsidR="00655567" w:rsidRPr="007640FD">
          <w:rPr>
            <w:rStyle w:val="Kpr"/>
            <w:noProof/>
          </w:rPr>
          <w:t>2.3.1.1. RIFLE Kriterleri</w:t>
        </w:r>
        <w:r w:rsidR="00655567">
          <w:rPr>
            <w:noProof/>
            <w:webHidden/>
          </w:rPr>
          <w:tab/>
        </w:r>
        <w:r>
          <w:rPr>
            <w:noProof/>
            <w:webHidden/>
          </w:rPr>
          <w:fldChar w:fldCharType="begin"/>
        </w:r>
        <w:r w:rsidR="00655567">
          <w:rPr>
            <w:noProof/>
            <w:webHidden/>
          </w:rPr>
          <w:instrText xml:space="preserve"> PAGEREF _Toc459712408 \h </w:instrText>
        </w:r>
        <w:r>
          <w:rPr>
            <w:noProof/>
            <w:webHidden/>
          </w:rPr>
        </w:r>
        <w:r>
          <w:rPr>
            <w:noProof/>
            <w:webHidden/>
          </w:rPr>
          <w:fldChar w:fldCharType="separate"/>
        </w:r>
        <w:r w:rsidR="001C364D">
          <w:rPr>
            <w:noProof/>
            <w:webHidden/>
          </w:rPr>
          <w:t>10</w:t>
        </w:r>
        <w:r>
          <w:rPr>
            <w:noProof/>
            <w:webHidden/>
          </w:rPr>
          <w:fldChar w:fldCharType="end"/>
        </w:r>
      </w:hyperlink>
    </w:p>
    <w:p w:rsidR="00655567" w:rsidRDefault="00C57A06" w:rsidP="00500346">
      <w:pPr>
        <w:pStyle w:val="T4"/>
        <w:rPr>
          <w:rFonts w:asciiTheme="minorHAnsi" w:eastAsiaTheme="minorEastAsia" w:hAnsiTheme="minorHAnsi" w:cstheme="minorBidi"/>
          <w:noProof/>
          <w:sz w:val="22"/>
          <w:lang w:eastAsia="tr-TR"/>
        </w:rPr>
      </w:pPr>
      <w:hyperlink w:anchor="_Toc459712409" w:history="1">
        <w:r w:rsidR="00655567" w:rsidRPr="007640FD">
          <w:rPr>
            <w:rStyle w:val="Kpr"/>
            <w:noProof/>
          </w:rPr>
          <w:t>2.3.1.2. AKIN Kriterleri</w:t>
        </w:r>
        <w:r w:rsidR="00655567">
          <w:rPr>
            <w:noProof/>
            <w:webHidden/>
          </w:rPr>
          <w:tab/>
        </w:r>
        <w:r>
          <w:rPr>
            <w:noProof/>
            <w:webHidden/>
          </w:rPr>
          <w:fldChar w:fldCharType="begin"/>
        </w:r>
        <w:r w:rsidR="00655567">
          <w:rPr>
            <w:noProof/>
            <w:webHidden/>
          </w:rPr>
          <w:instrText xml:space="preserve"> PAGEREF _Toc459712409 \h </w:instrText>
        </w:r>
        <w:r>
          <w:rPr>
            <w:noProof/>
            <w:webHidden/>
          </w:rPr>
        </w:r>
        <w:r>
          <w:rPr>
            <w:noProof/>
            <w:webHidden/>
          </w:rPr>
          <w:fldChar w:fldCharType="separate"/>
        </w:r>
        <w:r w:rsidR="001C364D">
          <w:rPr>
            <w:noProof/>
            <w:webHidden/>
          </w:rPr>
          <w:t>11</w:t>
        </w:r>
        <w:r>
          <w:rPr>
            <w:noProof/>
            <w:webHidden/>
          </w:rPr>
          <w:fldChar w:fldCharType="end"/>
        </w:r>
      </w:hyperlink>
    </w:p>
    <w:p w:rsidR="00655567" w:rsidRDefault="00C57A06" w:rsidP="00500346">
      <w:pPr>
        <w:pStyle w:val="T2"/>
        <w:tabs>
          <w:tab w:val="right" w:leader="dot" w:pos="8777"/>
        </w:tabs>
        <w:spacing w:after="0"/>
        <w:rPr>
          <w:rFonts w:asciiTheme="minorHAnsi" w:eastAsiaTheme="minorEastAsia" w:hAnsiTheme="minorHAnsi" w:cstheme="minorBidi"/>
          <w:noProof/>
          <w:sz w:val="22"/>
          <w:lang w:eastAsia="tr-TR"/>
        </w:rPr>
      </w:pPr>
      <w:hyperlink w:anchor="_Toc459712410" w:history="1">
        <w:r w:rsidR="00655567" w:rsidRPr="007640FD">
          <w:rPr>
            <w:rStyle w:val="Kpr"/>
            <w:noProof/>
          </w:rPr>
          <w:t>2.4. AKS-ABH İlişkisi</w:t>
        </w:r>
        <w:r w:rsidR="00655567">
          <w:rPr>
            <w:noProof/>
            <w:webHidden/>
          </w:rPr>
          <w:tab/>
        </w:r>
        <w:r>
          <w:rPr>
            <w:noProof/>
            <w:webHidden/>
          </w:rPr>
          <w:fldChar w:fldCharType="begin"/>
        </w:r>
        <w:r w:rsidR="00655567">
          <w:rPr>
            <w:noProof/>
            <w:webHidden/>
          </w:rPr>
          <w:instrText xml:space="preserve"> PAGEREF _Toc459712410 \h </w:instrText>
        </w:r>
        <w:r>
          <w:rPr>
            <w:noProof/>
            <w:webHidden/>
          </w:rPr>
        </w:r>
        <w:r>
          <w:rPr>
            <w:noProof/>
            <w:webHidden/>
          </w:rPr>
          <w:fldChar w:fldCharType="separate"/>
        </w:r>
        <w:r w:rsidR="001C364D">
          <w:rPr>
            <w:noProof/>
            <w:webHidden/>
          </w:rPr>
          <w:t>13</w:t>
        </w:r>
        <w:r>
          <w:rPr>
            <w:noProof/>
            <w:webHidden/>
          </w:rPr>
          <w:fldChar w:fldCharType="end"/>
        </w:r>
      </w:hyperlink>
    </w:p>
    <w:p w:rsidR="00655567" w:rsidRDefault="00C57A06" w:rsidP="00500346">
      <w:pPr>
        <w:pStyle w:val="T3"/>
        <w:rPr>
          <w:rFonts w:asciiTheme="minorHAnsi" w:eastAsiaTheme="minorEastAsia" w:hAnsiTheme="minorHAnsi" w:cstheme="minorBidi"/>
          <w:noProof/>
          <w:sz w:val="22"/>
          <w:lang w:eastAsia="tr-TR"/>
        </w:rPr>
      </w:pPr>
      <w:hyperlink w:anchor="_Toc459712411" w:history="1">
        <w:r w:rsidR="00655567" w:rsidRPr="007640FD">
          <w:rPr>
            <w:rStyle w:val="Kpr"/>
            <w:noProof/>
          </w:rPr>
          <w:t>2.4.1. AKS'de Kontrast Nefropatisi</w:t>
        </w:r>
        <w:r w:rsidR="00655567">
          <w:rPr>
            <w:noProof/>
            <w:webHidden/>
          </w:rPr>
          <w:tab/>
        </w:r>
        <w:r>
          <w:rPr>
            <w:noProof/>
            <w:webHidden/>
          </w:rPr>
          <w:fldChar w:fldCharType="begin"/>
        </w:r>
        <w:r w:rsidR="00655567">
          <w:rPr>
            <w:noProof/>
            <w:webHidden/>
          </w:rPr>
          <w:instrText xml:space="preserve"> PAGEREF _Toc459712411 \h </w:instrText>
        </w:r>
        <w:r>
          <w:rPr>
            <w:noProof/>
            <w:webHidden/>
          </w:rPr>
        </w:r>
        <w:r>
          <w:rPr>
            <w:noProof/>
            <w:webHidden/>
          </w:rPr>
          <w:fldChar w:fldCharType="separate"/>
        </w:r>
        <w:r w:rsidR="001C364D">
          <w:rPr>
            <w:noProof/>
            <w:webHidden/>
          </w:rPr>
          <w:t>13</w:t>
        </w:r>
        <w:r>
          <w:rPr>
            <w:noProof/>
            <w:webHidden/>
          </w:rPr>
          <w:fldChar w:fldCharType="end"/>
        </w:r>
      </w:hyperlink>
    </w:p>
    <w:p w:rsidR="00655567" w:rsidRDefault="00C57A06" w:rsidP="00500346">
      <w:pPr>
        <w:pStyle w:val="T3"/>
        <w:rPr>
          <w:rFonts w:asciiTheme="minorHAnsi" w:eastAsiaTheme="minorEastAsia" w:hAnsiTheme="minorHAnsi" w:cstheme="minorBidi"/>
          <w:noProof/>
          <w:sz w:val="22"/>
          <w:lang w:eastAsia="tr-TR"/>
        </w:rPr>
      </w:pPr>
      <w:hyperlink w:anchor="_Toc459712412" w:history="1">
        <w:r w:rsidR="00655567" w:rsidRPr="007640FD">
          <w:rPr>
            <w:rStyle w:val="Kpr"/>
            <w:noProof/>
          </w:rPr>
          <w:t>2.4.2. Kontrast Nefropatisinin Önlenmesi</w:t>
        </w:r>
        <w:r w:rsidR="00655567">
          <w:rPr>
            <w:noProof/>
            <w:webHidden/>
          </w:rPr>
          <w:tab/>
        </w:r>
        <w:r>
          <w:rPr>
            <w:noProof/>
            <w:webHidden/>
          </w:rPr>
          <w:fldChar w:fldCharType="begin"/>
        </w:r>
        <w:r w:rsidR="00655567">
          <w:rPr>
            <w:noProof/>
            <w:webHidden/>
          </w:rPr>
          <w:instrText xml:space="preserve"> PAGEREF _Toc459712412 \h </w:instrText>
        </w:r>
        <w:r>
          <w:rPr>
            <w:noProof/>
            <w:webHidden/>
          </w:rPr>
        </w:r>
        <w:r>
          <w:rPr>
            <w:noProof/>
            <w:webHidden/>
          </w:rPr>
          <w:fldChar w:fldCharType="separate"/>
        </w:r>
        <w:r w:rsidR="001C364D">
          <w:rPr>
            <w:noProof/>
            <w:webHidden/>
          </w:rPr>
          <w:t>14</w:t>
        </w:r>
        <w:r>
          <w:rPr>
            <w:noProof/>
            <w:webHidden/>
          </w:rPr>
          <w:fldChar w:fldCharType="end"/>
        </w:r>
      </w:hyperlink>
    </w:p>
    <w:p w:rsidR="00655567" w:rsidRDefault="00C57A06" w:rsidP="00500346">
      <w:pPr>
        <w:pStyle w:val="T2"/>
        <w:tabs>
          <w:tab w:val="right" w:leader="dot" w:pos="8777"/>
        </w:tabs>
        <w:spacing w:after="0"/>
        <w:rPr>
          <w:rFonts w:asciiTheme="minorHAnsi" w:eastAsiaTheme="minorEastAsia" w:hAnsiTheme="minorHAnsi" w:cstheme="minorBidi"/>
          <w:noProof/>
          <w:sz w:val="22"/>
          <w:lang w:eastAsia="tr-TR"/>
        </w:rPr>
      </w:pPr>
      <w:hyperlink w:anchor="_Toc459712413" w:history="1">
        <w:r w:rsidR="00655567" w:rsidRPr="007640FD">
          <w:rPr>
            <w:rStyle w:val="Kpr"/>
            <w:noProof/>
          </w:rPr>
          <w:t>2.5. Akut Böbrek Hasarının Prognozu</w:t>
        </w:r>
        <w:r w:rsidR="00655567">
          <w:rPr>
            <w:noProof/>
            <w:webHidden/>
          </w:rPr>
          <w:tab/>
        </w:r>
        <w:r>
          <w:rPr>
            <w:noProof/>
            <w:webHidden/>
          </w:rPr>
          <w:fldChar w:fldCharType="begin"/>
        </w:r>
        <w:r w:rsidR="00655567">
          <w:rPr>
            <w:noProof/>
            <w:webHidden/>
          </w:rPr>
          <w:instrText xml:space="preserve"> PAGEREF _Toc459712413 \h </w:instrText>
        </w:r>
        <w:r>
          <w:rPr>
            <w:noProof/>
            <w:webHidden/>
          </w:rPr>
        </w:r>
        <w:r>
          <w:rPr>
            <w:noProof/>
            <w:webHidden/>
          </w:rPr>
          <w:fldChar w:fldCharType="separate"/>
        </w:r>
        <w:r w:rsidR="001C364D">
          <w:rPr>
            <w:noProof/>
            <w:webHidden/>
          </w:rPr>
          <w:t>14</w:t>
        </w:r>
        <w:r>
          <w:rPr>
            <w:noProof/>
            <w:webHidden/>
          </w:rPr>
          <w:fldChar w:fldCharType="end"/>
        </w:r>
      </w:hyperlink>
    </w:p>
    <w:p w:rsidR="00655567" w:rsidRDefault="00C57A06" w:rsidP="00500346">
      <w:pPr>
        <w:pStyle w:val="T1"/>
        <w:tabs>
          <w:tab w:val="right" w:leader="dot" w:pos="8777"/>
        </w:tabs>
        <w:spacing w:after="0"/>
        <w:rPr>
          <w:rFonts w:asciiTheme="minorHAnsi" w:eastAsiaTheme="minorEastAsia" w:hAnsiTheme="minorHAnsi" w:cstheme="minorBidi"/>
          <w:noProof/>
          <w:sz w:val="22"/>
          <w:lang w:eastAsia="tr-TR"/>
        </w:rPr>
      </w:pPr>
      <w:hyperlink w:anchor="_Toc459712414" w:history="1">
        <w:r w:rsidR="00655567" w:rsidRPr="007640FD">
          <w:rPr>
            <w:rStyle w:val="Kpr"/>
            <w:noProof/>
          </w:rPr>
          <w:t>3. GEREÇ ve YÖNTEMLER</w:t>
        </w:r>
        <w:r w:rsidR="00655567">
          <w:rPr>
            <w:noProof/>
            <w:webHidden/>
          </w:rPr>
          <w:tab/>
        </w:r>
        <w:r>
          <w:rPr>
            <w:noProof/>
            <w:webHidden/>
          </w:rPr>
          <w:fldChar w:fldCharType="begin"/>
        </w:r>
        <w:r w:rsidR="00655567">
          <w:rPr>
            <w:noProof/>
            <w:webHidden/>
          </w:rPr>
          <w:instrText xml:space="preserve"> PAGEREF _Toc459712414 \h </w:instrText>
        </w:r>
        <w:r>
          <w:rPr>
            <w:noProof/>
            <w:webHidden/>
          </w:rPr>
        </w:r>
        <w:r>
          <w:rPr>
            <w:noProof/>
            <w:webHidden/>
          </w:rPr>
          <w:fldChar w:fldCharType="separate"/>
        </w:r>
        <w:r w:rsidR="001C364D">
          <w:rPr>
            <w:noProof/>
            <w:webHidden/>
          </w:rPr>
          <w:t>16</w:t>
        </w:r>
        <w:r>
          <w:rPr>
            <w:noProof/>
            <w:webHidden/>
          </w:rPr>
          <w:fldChar w:fldCharType="end"/>
        </w:r>
      </w:hyperlink>
    </w:p>
    <w:p w:rsidR="00655567" w:rsidRDefault="00C57A06" w:rsidP="00500346">
      <w:pPr>
        <w:pStyle w:val="T2"/>
        <w:tabs>
          <w:tab w:val="right" w:leader="dot" w:pos="8777"/>
        </w:tabs>
        <w:spacing w:after="0"/>
        <w:rPr>
          <w:rFonts w:asciiTheme="minorHAnsi" w:eastAsiaTheme="minorEastAsia" w:hAnsiTheme="minorHAnsi" w:cstheme="minorBidi"/>
          <w:noProof/>
          <w:sz w:val="22"/>
          <w:lang w:eastAsia="tr-TR"/>
        </w:rPr>
      </w:pPr>
      <w:hyperlink w:anchor="_Toc459712415" w:history="1">
        <w:r w:rsidR="00655567" w:rsidRPr="007640FD">
          <w:rPr>
            <w:rStyle w:val="Kpr"/>
            <w:noProof/>
          </w:rPr>
          <w:t>3.1. Çalışmadan Dışlanma Kriterleri</w:t>
        </w:r>
        <w:r w:rsidR="00655567">
          <w:rPr>
            <w:noProof/>
            <w:webHidden/>
          </w:rPr>
          <w:tab/>
        </w:r>
        <w:r>
          <w:rPr>
            <w:noProof/>
            <w:webHidden/>
          </w:rPr>
          <w:fldChar w:fldCharType="begin"/>
        </w:r>
        <w:r w:rsidR="00655567">
          <w:rPr>
            <w:noProof/>
            <w:webHidden/>
          </w:rPr>
          <w:instrText xml:space="preserve"> PAGEREF _Toc459712415 \h </w:instrText>
        </w:r>
        <w:r>
          <w:rPr>
            <w:noProof/>
            <w:webHidden/>
          </w:rPr>
        </w:r>
        <w:r>
          <w:rPr>
            <w:noProof/>
            <w:webHidden/>
          </w:rPr>
          <w:fldChar w:fldCharType="separate"/>
        </w:r>
        <w:r w:rsidR="001C364D">
          <w:rPr>
            <w:noProof/>
            <w:webHidden/>
          </w:rPr>
          <w:t>16</w:t>
        </w:r>
        <w:r>
          <w:rPr>
            <w:noProof/>
            <w:webHidden/>
          </w:rPr>
          <w:fldChar w:fldCharType="end"/>
        </w:r>
      </w:hyperlink>
    </w:p>
    <w:p w:rsidR="00655567" w:rsidRDefault="00C57A06" w:rsidP="00500346">
      <w:pPr>
        <w:pStyle w:val="T2"/>
        <w:tabs>
          <w:tab w:val="right" w:leader="dot" w:pos="8777"/>
        </w:tabs>
        <w:spacing w:after="0"/>
        <w:rPr>
          <w:rFonts w:asciiTheme="minorHAnsi" w:eastAsiaTheme="minorEastAsia" w:hAnsiTheme="minorHAnsi" w:cstheme="minorBidi"/>
          <w:noProof/>
          <w:sz w:val="22"/>
          <w:lang w:eastAsia="tr-TR"/>
        </w:rPr>
      </w:pPr>
      <w:hyperlink w:anchor="_Toc459712416" w:history="1">
        <w:r w:rsidR="00655567" w:rsidRPr="007640FD">
          <w:rPr>
            <w:rStyle w:val="Kpr"/>
            <w:noProof/>
          </w:rPr>
          <w:t>3.2. Tanımlar</w:t>
        </w:r>
        <w:r w:rsidR="00655567">
          <w:rPr>
            <w:noProof/>
            <w:webHidden/>
          </w:rPr>
          <w:tab/>
        </w:r>
        <w:r>
          <w:rPr>
            <w:noProof/>
            <w:webHidden/>
          </w:rPr>
          <w:fldChar w:fldCharType="begin"/>
        </w:r>
        <w:r w:rsidR="00655567">
          <w:rPr>
            <w:noProof/>
            <w:webHidden/>
          </w:rPr>
          <w:instrText xml:space="preserve"> PAGEREF _Toc459712416 \h </w:instrText>
        </w:r>
        <w:r>
          <w:rPr>
            <w:noProof/>
            <w:webHidden/>
          </w:rPr>
        </w:r>
        <w:r>
          <w:rPr>
            <w:noProof/>
            <w:webHidden/>
          </w:rPr>
          <w:fldChar w:fldCharType="separate"/>
        </w:r>
        <w:r w:rsidR="001C364D">
          <w:rPr>
            <w:noProof/>
            <w:webHidden/>
          </w:rPr>
          <w:t>17</w:t>
        </w:r>
        <w:r>
          <w:rPr>
            <w:noProof/>
            <w:webHidden/>
          </w:rPr>
          <w:fldChar w:fldCharType="end"/>
        </w:r>
      </w:hyperlink>
    </w:p>
    <w:p w:rsidR="00655567" w:rsidRDefault="00C57A06" w:rsidP="00500346">
      <w:pPr>
        <w:pStyle w:val="T2"/>
        <w:tabs>
          <w:tab w:val="right" w:leader="dot" w:pos="8777"/>
        </w:tabs>
        <w:spacing w:after="0"/>
        <w:rPr>
          <w:rFonts w:asciiTheme="minorHAnsi" w:eastAsiaTheme="minorEastAsia" w:hAnsiTheme="minorHAnsi" w:cstheme="minorBidi"/>
          <w:noProof/>
          <w:sz w:val="22"/>
          <w:lang w:eastAsia="tr-TR"/>
        </w:rPr>
      </w:pPr>
      <w:hyperlink w:anchor="_Toc459712417" w:history="1">
        <w:r w:rsidR="00655567" w:rsidRPr="007640FD">
          <w:rPr>
            <w:rStyle w:val="Kpr"/>
            <w:noProof/>
          </w:rPr>
          <w:t>3.3. İstatistiksel Veri Analizi</w:t>
        </w:r>
        <w:r w:rsidR="00655567">
          <w:rPr>
            <w:noProof/>
            <w:webHidden/>
          </w:rPr>
          <w:tab/>
        </w:r>
        <w:r>
          <w:rPr>
            <w:noProof/>
            <w:webHidden/>
          </w:rPr>
          <w:fldChar w:fldCharType="begin"/>
        </w:r>
        <w:r w:rsidR="00655567">
          <w:rPr>
            <w:noProof/>
            <w:webHidden/>
          </w:rPr>
          <w:instrText xml:space="preserve"> PAGEREF _Toc459712417 \h </w:instrText>
        </w:r>
        <w:r>
          <w:rPr>
            <w:noProof/>
            <w:webHidden/>
          </w:rPr>
        </w:r>
        <w:r>
          <w:rPr>
            <w:noProof/>
            <w:webHidden/>
          </w:rPr>
          <w:fldChar w:fldCharType="separate"/>
        </w:r>
        <w:r w:rsidR="001C364D">
          <w:rPr>
            <w:noProof/>
            <w:webHidden/>
          </w:rPr>
          <w:t>19</w:t>
        </w:r>
        <w:r>
          <w:rPr>
            <w:noProof/>
            <w:webHidden/>
          </w:rPr>
          <w:fldChar w:fldCharType="end"/>
        </w:r>
      </w:hyperlink>
    </w:p>
    <w:p w:rsidR="00655567" w:rsidRDefault="00C57A06" w:rsidP="00500346">
      <w:pPr>
        <w:pStyle w:val="T1"/>
        <w:tabs>
          <w:tab w:val="right" w:leader="dot" w:pos="8777"/>
        </w:tabs>
        <w:spacing w:after="0"/>
        <w:rPr>
          <w:rFonts w:asciiTheme="minorHAnsi" w:eastAsiaTheme="minorEastAsia" w:hAnsiTheme="minorHAnsi" w:cstheme="minorBidi"/>
          <w:noProof/>
          <w:sz w:val="22"/>
          <w:lang w:eastAsia="tr-TR"/>
        </w:rPr>
      </w:pPr>
      <w:hyperlink w:anchor="_Toc459712418" w:history="1">
        <w:r w:rsidR="00655567" w:rsidRPr="007640FD">
          <w:rPr>
            <w:rStyle w:val="Kpr"/>
            <w:noProof/>
            <w:lang w:val="en-US"/>
          </w:rPr>
          <w:t>4. BULGULAR</w:t>
        </w:r>
        <w:r w:rsidR="00655567">
          <w:rPr>
            <w:noProof/>
            <w:webHidden/>
          </w:rPr>
          <w:tab/>
        </w:r>
        <w:r>
          <w:rPr>
            <w:noProof/>
            <w:webHidden/>
          </w:rPr>
          <w:fldChar w:fldCharType="begin"/>
        </w:r>
        <w:r w:rsidR="00655567">
          <w:rPr>
            <w:noProof/>
            <w:webHidden/>
          </w:rPr>
          <w:instrText xml:space="preserve"> PAGEREF _Toc459712418 \h </w:instrText>
        </w:r>
        <w:r>
          <w:rPr>
            <w:noProof/>
            <w:webHidden/>
          </w:rPr>
        </w:r>
        <w:r>
          <w:rPr>
            <w:noProof/>
            <w:webHidden/>
          </w:rPr>
          <w:fldChar w:fldCharType="separate"/>
        </w:r>
        <w:r w:rsidR="001C364D">
          <w:rPr>
            <w:noProof/>
            <w:webHidden/>
          </w:rPr>
          <w:t>20</w:t>
        </w:r>
        <w:r>
          <w:rPr>
            <w:noProof/>
            <w:webHidden/>
          </w:rPr>
          <w:fldChar w:fldCharType="end"/>
        </w:r>
      </w:hyperlink>
    </w:p>
    <w:p w:rsidR="00655567" w:rsidRDefault="00C57A06" w:rsidP="00500346">
      <w:pPr>
        <w:pStyle w:val="T1"/>
        <w:tabs>
          <w:tab w:val="right" w:leader="dot" w:pos="8777"/>
        </w:tabs>
        <w:spacing w:after="0"/>
        <w:rPr>
          <w:rFonts w:asciiTheme="minorHAnsi" w:eastAsiaTheme="minorEastAsia" w:hAnsiTheme="minorHAnsi" w:cstheme="minorBidi"/>
          <w:noProof/>
          <w:sz w:val="22"/>
          <w:lang w:eastAsia="tr-TR"/>
        </w:rPr>
      </w:pPr>
      <w:hyperlink w:anchor="_Toc459712419" w:history="1">
        <w:r w:rsidR="00655567" w:rsidRPr="007640FD">
          <w:rPr>
            <w:rStyle w:val="Kpr"/>
            <w:noProof/>
          </w:rPr>
          <w:t>5. TARTIŞMA</w:t>
        </w:r>
        <w:r w:rsidR="00655567">
          <w:rPr>
            <w:noProof/>
            <w:webHidden/>
          </w:rPr>
          <w:tab/>
        </w:r>
        <w:r>
          <w:rPr>
            <w:noProof/>
            <w:webHidden/>
          </w:rPr>
          <w:fldChar w:fldCharType="begin"/>
        </w:r>
        <w:r w:rsidR="00655567">
          <w:rPr>
            <w:noProof/>
            <w:webHidden/>
          </w:rPr>
          <w:instrText xml:space="preserve"> PAGEREF _Toc459712419 \h </w:instrText>
        </w:r>
        <w:r>
          <w:rPr>
            <w:noProof/>
            <w:webHidden/>
          </w:rPr>
        </w:r>
        <w:r>
          <w:rPr>
            <w:noProof/>
            <w:webHidden/>
          </w:rPr>
          <w:fldChar w:fldCharType="separate"/>
        </w:r>
        <w:r w:rsidR="001C364D">
          <w:rPr>
            <w:noProof/>
            <w:webHidden/>
          </w:rPr>
          <w:t>33</w:t>
        </w:r>
        <w:r>
          <w:rPr>
            <w:noProof/>
            <w:webHidden/>
          </w:rPr>
          <w:fldChar w:fldCharType="end"/>
        </w:r>
      </w:hyperlink>
    </w:p>
    <w:p w:rsidR="00655567" w:rsidRDefault="00C57A06" w:rsidP="00500346">
      <w:pPr>
        <w:pStyle w:val="T1"/>
        <w:tabs>
          <w:tab w:val="right" w:leader="dot" w:pos="8777"/>
        </w:tabs>
        <w:spacing w:after="0"/>
        <w:rPr>
          <w:rFonts w:asciiTheme="minorHAnsi" w:eastAsiaTheme="minorEastAsia" w:hAnsiTheme="minorHAnsi" w:cstheme="minorBidi"/>
          <w:noProof/>
          <w:sz w:val="22"/>
          <w:lang w:eastAsia="tr-TR"/>
        </w:rPr>
      </w:pPr>
      <w:hyperlink w:anchor="_Toc459712420" w:history="1">
        <w:r w:rsidR="00655567" w:rsidRPr="007640FD">
          <w:rPr>
            <w:rStyle w:val="Kpr"/>
            <w:noProof/>
          </w:rPr>
          <w:t>6. SONUÇLAR</w:t>
        </w:r>
        <w:r w:rsidR="00655567">
          <w:rPr>
            <w:noProof/>
            <w:webHidden/>
          </w:rPr>
          <w:tab/>
        </w:r>
        <w:r>
          <w:rPr>
            <w:noProof/>
            <w:webHidden/>
          </w:rPr>
          <w:fldChar w:fldCharType="begin"/>
        </w:r>
        <w:r w:rsidR="00655567">
          <w:rPr>
            <w:noProof/>
            <w:webHidden/>
          </w:rPr>
          <w:instrText xml:space="preserve"> PAGEREF _Toc459712420 \h </w:instrText>
        </w:r>
        <w:r>
          <w:rPr>
            <w:noProof/>
            <w:webHidden/>
          </w:rPr>
        </w:r>
        <w:r>
          <w:rPr>
            <w:noProof/>
            <w:webHidden/>
          </w:rPr>
          <w:fldChar w:fldCharType="separate"/>
        </w:r>
        <w:r w:rsidR="001C364D">
          <w:rPr>
            <w:noProof/>
            <w:webHidden/>
          </w:rPr>
          <w:t>37</w:t>
        </w:r>
        <w:r>
          <w:rPr>
            <w:noProof/>
            <w:webHidden/>
          </w:rPr>
          <w:fldChar w:fldCharType="end"/>
        </w:r>
      </w:hyperlink>
    </w:p>
    <w:p w:rsidR="00C27C39" w:rsidRPr="0057493F" w:rsidRDefault="00C57A06" w:rsidP="00500346">
      <w:pPr>
        <w:pStyle w:val="T1"/>
        <w:tabs>
          <w:tab w:val="right" w:leader="dot" w:pos="8777"/>
        </w:tabs>
        <w:spacing w:after="0"/>
        <w:rPr>
          <w:szCs w:val="24"/>
        </w:rPr>
      </w:pPr>
      <w:hyperlink w:anchor="_Toc459712421" w:history="1">
        <w:r w:rsidR="00655567" w:rsidRPr="007640FD">
          <w:rPr>
            <w:rStyle w:val="Kpr"/>
            <w:noProof/>
          </w:rPr>
          <w:t>7. KAYNAKLAR</w:t>
        </w:r>
        <w:r w:rsidR="00655567">
          <w:rPr>
            <w:noProof/>
            <w:webHidden/>
          </w:rPr>
          <w:tab/>
        </w:r>
        <w:r>
          <w:rPr>
            <w:noProof/>
            <w:webHidden/>
          </w:rPr>
          <w:fldChar w:fldCharType="begin"/>
        </w:r>
        <w:r w:rsidR="00655567">
          <w:rPr>
            <w:noProof/>
            <w:webHidden/>
          </w:rPr>
          <w:instrText xml:space="preserve"> PAGEREF _Toc459712421 \h </w:instrText>
        </w:r>
        <w:r>
          <w:rPr>
            <w:noProof/>
            <w:webHidden/>
          </w:rPr>
        </w:r>
        <w:r>
          <w:rPr>
            <w:noProof/>
            <w:webHidden/>
          </w:rPr>
          <w:fldChar w:fldCharType="separate"/>
        </w:r>
        <w:r w:rsidR="001C364D">
          <w:rPr>
            <w:noProof/>
            <w:webHidden/>
          </w:rPr>
          <w:t>38</w:t>
        </w:r>
        <w:r>
          <w:rPr>
            <w:noProof/>
            <w:webHidden/>
          </w:rPr>
          <w:fldChar w:fldCharType="end"/>
        </w:r>
      </w:hyperlink>
      <w:r w:rsidRPr="0057493F">
        <w:rPr>
          <w:szCs w:val="24"/>
        </w:rPr>
        <w:fldChar w:fldCharType="end"/>
      </w:r>
    </w:p>
    <w:p w:rsidR="00C27C39" w:rsidRPr="0057493F" w:rsidRDefault="00C27C39" w:rsidP="006911F3">
      <w:pPr>
        <w:pStyle w:val="Balk1"/>
        <w:jc w:val="center"/>
      </w:pPr>
      <w:bookmarkStart w:id="7" w:name="_Toc420428282"/>
      <w:bookmarkStart w:id="8" w:name="_Toc459712395"/>
      <w:r w:rsidRPr="0057493F">
        <w:lastRenderedPageBreak/>
        <w:t>KISALTMALAR</w:t>
      </w:r>
      <w:bookmarkEnd w:id="7"/>
      <w:bookmarkEnd w:id="8"/>
    </w:p>
    <w:p w:rsidR="00742A83" w:rsidRPr="0057493F" w:rsidRDefault="00742A83" w:rsidP="00305ADD">
      <w:pPr>
        <w:tabs>
          <w:tab w:val="left" w:pos="1985"/>
        </w:tabs>
        <w:spacing w:line="240" w:lineRule="auto"/>
        <w:rPr>
          <w:szCs w:val="24"/>
        </w:rPr>
      </w:pPr>
    </w:p>
    <w:p w:rsidR="00582A77" w:rsidRPr="00892E21" w:rsidRDefault="00582A77" w:rsidP="00582A77">
      <w:r w:rsidRPr="00582A77">
        <w:rPr>
          <w:b/>
        </w:rPr>
        <w:t>ABY</w:t>
      </w:r>
      <w:r w:rsidRPr="00582A77">
        <w:rPr>
          <w:b/>
        </w:rPr>
        <w:tab/>
      </w:r>
      <w:r w:rsidRPr="00582A77">
        <w:rPr>
          <w:b/>
        </w:rPr>
        <w:tab/>
      </w:r>
      <w:r w:rsidRPr="00582A77">
        <w:rPr>
          <w:b/>
        </w:rPr>
        <w:tab/>
      </w:r>
      <w:r w:rsidRPr="00582A77">
        <w:rPr>
          <w:b/>
        </w:rPr>
        <w:tab/>
        <w:t>:</w:t>
      </w:r>
      <w:r w:rsidRPr="00892E21">
        <w:t xml:space="preserve"> Akut böbrek yetmezliği </w:t>
      </w:r>
    </w:p>
    <w:p w:rsidR="00582A77" w:rsidRPr="00892E21" w:rsidRDefault="00582A77" w:rsidP="00582A77">
      <w:r w:rsidRPr="00582A77">
        <w:rPr>
          <w:b/>
        </w:rPr>
        <w:t>ABH</w:t>
      </w:r>
      <w:r w:rsidRPr="00582A77">
        <w:rPr>
          <w:b/>
        </w:rPr>
        <w:tab/>
      </w:r>
      <w:r w:rsidRPr="00582A77">
        <w:rPr>
          <w:b/>
        </w:rPr>
        <w:tab/>
      </w:r>
      <w:r w:rsidRPr="00582A77">
        <w:rPr>
          <w:b/>
        </w:rPr>
        <w:tab/>
      </w:r>
      <w:r w:rsidRPr="00582A77">
        <w:rPr>
          <w:b/>
        </w:rPr>
        <w:tab/>
        <w:t>:</w:t>
      </w:r>
      <w:r w:rsidRPr="00892E21">
        <w:t xml:space="preserve"> Akut böbrek hasarı </w:t>
      </w:r>
    </w:p>
    <w:p w:rsidR="00582A77" w:rsidRPr="00892E21" w:rsidRDefault="00582A77" w:rsidP="00582A77">
      <w:r w:rsidRPr="00582A77">
        <w:rPr>
          <w:b/>
        </w:rPr>
        <w:t>ACEi</w:t>
      </w:r>
      <w:r w:rsidRPr="00582A77">
        <w:rPr>
          <w:b/>
        </w:rPr>
        <w:tab/>
      </w:r>
      <w:r w:rsidRPr="00582A77">
        <w:rPr>
          <w:b/>
        </w:rPr>
        <w:tab/>
      </w:r>
      <w:r w:rsidRPr="00582A77">
        <w:rPr>
          <w:b/>
        </w:rPr>
        <w:tab/>
      </w:r>
      <w:r w:rsidRPr="00582A77">
        <w:rPr>
          <w:b/>
        </w:rPr>
        <w:tab/>
        <w:t>:</w:t>
      </w:r>
      <w:r w:rsidRPr="00892E21">
        <w:t xml:space="preserve"> Angiotensin converting enzyme inhibitor</w:t>
      </w:r>
    </w:p>
    <w:p w:rsidR="00582A77" w:rsidRPr="00892E21" w:rsidRDefault="00582A77" w:rsidP="00582A77">
      <w:r w:rsidRPr="00582A77">
        <w:rPr>
          <w:b/>
        </w:rPr>
        <w:t>ACS</w:t>
      </w:r>
      <w:r w:rsidRPr="00582A77">
        <w:rPr>
          <w:b/>
        </w:rPr>
        <w:tab/>
      </w:r>
      <w:r w:rsidRPr="00582A77">
        <w:rPr>
          <w:b/>
        </w:rPr>
        <w:tab/>
      </w:r>
      <w:r w:rsidRPr="00582A77">
        <w:rPr>
          <w:b/>
        </w:rPr>
        <w:tab/>
      </w:r>
      <w:r w:rsidRPr="00582A77">
        <w:rPr>
          <w:b/>
        </w:rPr>
        <w:tab/>
        <w:t>:</w:t>
      </w:r>
      <w:r w:rsidRPr="00892E21">
        <w:t xml:space="preserve"> Acute coronary syndrome</w:t>
      </w:r>
    </w:p>
    <w:p w:rsidR="00582A77" w:rsidRPr="00892E21" w:rsidRDefault="00582A77" w:rsidP="00582A77">
      <w:r w:rsidRPr="00582A77">
        <w:rPr>
          <w:b/>
        </w:rPr>
        <w:t>ADA</w:t>
      </w:r>
      <w:r w:rsidRPr="00582A77">
        <w:rPr>
          <w:b/>
        </w:rPr>
        <w:tab/>
      </w:r>
      <w:r w:rsidRPr="00582A77">
        <w:rPr>
          <w:b/>
        </w:rPr>
        <w:tab/>
      </w:r>
      <w:r w:rsidRPr="00582A77">
        <w:rPr>
          <w:b/>
        </w:rPr>
        <w:tab/>
      </w:r>
      <w:r w:rsidRPr="00582A77">
        <w:rPr>
          <w:b/>
        </w:rPr>
        <w:tab/>
        <w:t>:</w:t>
      </w:r>
      <w:r w:rsidRPr="00892E21">
        <w:t xml:space="preserve"> Amerikan diyabet derneği</w:t>
      </w:r>
    </w:p>
    <w:p w:rsidR="00582A77" w:rsidRPr="00892E21" w:rsidRDefault="00582A77" w:rsidP="00582A77">
      <w:r w:rsidRPr="00582A77">
        <w:rPr>
          <w:b/>
        </w:rPr>
        <w:t>ADEi</w:t>
      </w:r>
      <w:r w:rsidRPr="00582A77">
        <w:rPr>
          <w:b/>
        </w:rPr>
        <w:tab/>
      </w:r>
      <w:r w:rsidRPr="00582A77">
        <w:rPr>
          <w:b/>
        </w:rPr>
        <w:tab/>
      </w:r>
      <w:r w:rsidRPr="00582A77">
        <w:rPr>
          <w:b/>
        </w:rPr>
        <w:tab/>
      </w:r>
      <w:r w:rsidRPr="00582A77">
        <w:rPr>
          <w:b/>
        </w:rPr>
        <w:tab/>
        <w:t>:</w:t>
      </w:r>
      <w:r w:rsidRPr="00892E21">
        <w:t xml:space="preserve"> Anjiotensin dönüştürücü enzim inhibitörü</w:t>
      </w:r>
    </w:p>
    <w:p w:rsidR="00582A77" w:rsidRPr="00892E21" w:rsidRDefault="00582A77" w:rsidP="00582A77">
      <w:r w:rsidRPr="00582A77">
        <w:rPr>
          <w:b/>
        </w:rPr>
        <w:t>ADH</w:t>
      </w:r>
      <w:r w:rsidRPr="00582A77">
        <w:rPr>
          <w:b/>
        </w:rPr>
        <w:tab/>
      </w:r>
      <w:r w:rsidRPr="00582A77">
        <w:rPr>
          <w:b/>
        </w:rPr>
        <w:tab/>
      </w:r>
      <w:r w:rsidRPr="00582A77">
        <w:rPr>
          <w:b/>
        </w:rPr>
        <w:tab/>
      </w:r>
      <w:r w:rsidRPr="00582A77">
        <w:rPr>
          <w:b/>
        </w:rPr>
        <w:tab/>
        <w:t>:</w:t>
      </w:r>
      <w:r w:rsidRPr="00892E21">
        <w:t xml:space="preserve"> Antidiüretik hormon </w:t>
      </w:r>
    </w:p>
    <w:p w:rsidR="00582A77" w:rsidRPr="00892E21" w:rsidRDefault="00582A77" w:rsidP="00582A77">
      <w:r w:rsidRPr="00582A77">
        <w:rPr>
          <w:b/>
        </w:rPr>
        <w:t>ADQI</w:t>
      </w:r>
      <w:r w:rsidRPr="00582A77">
        <w:rPr>
          <w:b/>
        </w:rPr>
        <w:tab/>
      </w:r>
      <w:r w:rsidRPr="00582A77">
        <w:rPr>
          <w:b/>
        </w:rPr>
        <w:tab/>
      </w:r>
      <w:r w:rsidRPr="00582A77">
        <w:rPr>
          <w:b/>
        </w:rPr>
        <w:tab/>
      </w:r>
      <w:r w:rsidRPr="00582A77">
        <w:rPr>
          <w:b/>
        </w:rPr>
        <w:tab/>
        <w:t>:</w:t>
      </w:r>
      <w:r w:rsidRPr="00892E21">
        <w:t xml:space="preserve"> Akut diyaliz kalite insiyatifi grubu </w:t>
      </w:r>
    </w:p>
    <w:p w:rsidR="00582A77" w:rsidRPr="00892E21" w:rsidRDefault="00582A77" w:rsidP="00582A77">
      <w:r w:rsidRPr="00582A77">
        <w:rPr>
          <w:b/>
        </w:rPr>
        <w:t>AF</w:t>
      </w:r>
      <w:r w:rsidRPr="00582A77">
        <w:rPr>
          <w:b/>
        </w:rPr>
        <w:tab/>
      </w:r>
      <w:r w:rsidRPr="00582A77">
        <w:rPr>
          <w:b/>
        </w:rPr>
        <w:tab/>
      </w:r>
      <w:r w:rsidRPr="00582A77">
        <w:rPr>
          <w:b/>
        </w:rPr>
        <w:tab/>
      </w:r>
      <w:r w:rsidRPr="00582A77">
        <w:rPr>
          <w:b/>
        </w:rPr>
        <w:tab/>
        <w:t>:</w:t>
      </w:r>
      <w:r w:rsidRPr="00892E21">
        <w:t xml:space="preserve"> Atriyal fibrilasyon </w:t>
      </w:r>
    </w:p>
    <w:p w:rsidR="00582A77" w:rsidRPr="00892E21" w:rsidRDefault="00582A77" w:rsidP="00582A77">
      <w:r w:rsidRPr="00582A77">
        <w:rPr>
          <w:b/>
        </w:rPr>
        <w:t>AKIN</w:t>
      </w:r>
      <w:r w:rsidRPr="00582A77">
        <w:rPr>
          <w:b/>
        </w:rPr>
        <w:tab/>
      </w:r>
      <w:r w:rsidRPr="00582A77">
        <w:rPr>
          <w:b/>
        </w:rPr>
        <w:tab/>
      </w:r>
      <w:r w:rsidRPr="00582A77">
        <w:rPr>
          <w:b/>
        </w:rPr>
        <w:tab/>
      </w:r>
      <w:r w:rsidRPr="00582A77">
        <w:rPr>
          <w:b/>
        </w:rPr>
        <w:tab/>
        <w:t>:</w:t>
      </w:r>
      <w:r w:rsidRPr="00892E21">
        <w:t xml:space="preserve"> Acute Kidney Injury network</w:t>
      </w:r>
    </w:p>
    <w:p w:rsidR="00582A77" w:rsidRPr="00892E21" w:rsidRDefault="00582A77" w:rsidP="00582A77">
      <w:r w:rsidRPr="00582A77">
        <w:rPr>
          <w:b/>
        </w:rPr>
        <w:t>AKS</w:t>
      </w:r>
      <w:r w:rsidRPr="00582A77">
        <w:rPr>
          <w:b/>
        </w:rPr>
        <w:tab/>
      </w:r>
      <w:r w:rsidRPr="00582A77">
        <w:rPr>
          <w:b/>
        </w:rPr>
        <w:tab/>
      </w:r>
      <w:r w:rsidRPr="00582A77">
        <w:rPr>
          <w:b/>
        </w:rPr>
        <w:tab/>
      </w:r>
      <w:r w:rsidRPr="00582A77">
        <w:rPr>
          <w:b/>
        </w:rPr>
        <w:tab/>
        <w:t>:</w:t>
      </w:r>
      <w:r w:rsidRPr="00892E21">
        <w:t xml:space="preserve"> Akut koroner sendrom                                   </w:t>
      </w:r>
    </w:p>
    <w:p w:rsidR="00582A77" w:rsidRPr="00892E21" w:rsidRDefault="00582A77" w:rsidP="00582A77">
      <w:r w:rsidRPr="00582A77">
        <w:rPr>
          <w:b/>
        </w:rPr>
        <w:t>ARB</w:t>
      </w:r>
      <w:r w:rsidRPr="00582A77">
        <w:rPr>
          <w:b/>
        </w:rPr>
        <w:tab/>
      </w:r>
      <w:r w:rsidRPr="00582A77">
        <w:rPr>
          <w:b/>
        </w:rPr>
        <w:tab/>
      </w:r>
      <w:r w:rsidRPr="00582A77">
        <w:rPr>
          <w:b/>
        </w:rPr>
        <w:tab/>
      </w:r>
      <w:r w:rsidRPr="00582A77">
        <w:rPr>
          <w:b/>
        </w:rPr>
        <w:tab/>
        <w:t>:</w:t>
      </w:r>
      <w:r w:rsidRPr="00892E21">
        <w:t xml:space="preserve"> Anjiyotensin reseptör blokörü </w:t>
      </w:r>
    </w:p>
    <w:p w:rsidR="00582A77" w:rsidRPr="00892E21" w:rsidRDefault="00582A77" w:rsidP="00582A77">
      <w:r w:rsidRPr="00582A77">
        <w:rPr>
          <w:b/>
        </w:rPr>
        <w:t>ATN</w:t>
      </w:r>
      <w:r w:rsidRPr="00582A77">
        <w:rPr>
          <w:b/>
        </w:rPr>
        <w:tab/>
      </w:r>
      <w:r w:rsidRPr="00582A77">
        <w:rPr>
          <w:b/>
        </w:rPr>
        <w:tab/>
      </w:r>
      <w:r w:rsidRPr="00582A77">
        <w:rPr>
          <w:b/>
        </w:rPr>
        <w:tab/>
      </w:r>
      <w:r w:rsidRPr="00582A77">
        <w:rPr>
          <w:b/>
        </w:rPr>
        <w:tab/>
        <w:t>:</w:t>
      </w:r>
      <w:r w:rsidRPr="00892E21">
        <w:t xml:space="preserve"> Akut tübüler nekroz </w:t>
      </w:r>
    </w:p>
    <w:p w:rsidR="00582A77" w:rsidRPr="00892E21" w:rsidRDefault="00582A77" w:rsidP="00582A77">
      <w:r w:rsidRPr="00582A77">
        <w:rPr>
          <w:b/>
        </w:rPr>
        <w:t>ATİN</w:t>
      </w:r>
      <w:r w:rsidRPr="00582A77">
        <w:rPr>
          <w:b/>
        </w:rPr>
        <w:tab/>
      </w:r>
      <w:r w:rsidRPr="00582A77">
        <w:rPr>
          <w:b/>
        </w:rPr>
        <w:tab/>
      </w:r>
      <w:r w:rsidRPr="00582A77">
        <w:rPr>
          <w:b/>
        </w:rPr>
        <w:tab/>
      </w:r>
      <w:r w:rsidRPr="00582A77">
        <w:rPr>
          <w:b/>
        </w:rPr>
        <w:tab/>
        <w:t>:</w:t>
      </w:r>
      <w:r w:rsidRPr="00892E21">
        <w:t xml:space="preserve"> Akut tübülointertisiyel nefrit </w:t>
      </w:r>
    </w:p>
    <w:p w:rsidR="00582A77" w:rsidRPr="00892E21" w:rsidRDefault="00582A77" w:rsidP="00582A77">
      <w:r w:rsidRPr="00582A77">
        <w:rPr>
          <w:b/>
        </w:rPr>
        <w:t>AT-2</w:t>
      </w:r>
      <w:r w:rsidRPr="00582A77">
        <w:rPr>
          <w:b/>
        </w:rPr>
        <w:tab/>
      </w:r>
      <w:r w:rsidRPr="00582A77">
        <w:rPr>
          <w:b/>
        </w:rPr>
        <w:tab/>
      </w:r>
      <w:r w:rsidRPr="00582A77">
        <w:rPr>
          <w:b/>
        </w:rPr>
        <w:tab/>
      </w:r>
      <w:r w:rsidRPr="00582A77">
        <w:rPr>
          <w:b/>
        </w:rPr>
        <w:tab/>
        <w:t>:</w:t>
      </w:r>
      <w:r w:rsidRPr="00892E21">
        <w:t xml:space="preserve"> Anjiyotensin 2 </w:t>
      </w:r>
    </w:p>
    <w:p w:rsidR="00582A77" w:rsidRPr="00892E21" w:rsidRDefault="00582A77" w:rsidP="00582A77">
      <w:r w:rsidRPr="00582A77">
        <w:rPr>
          <w:b/>
        </w:rPr>
        <w:t>BUN</w:t>
      </w:r>
      <w:r w:rsidRPr="00582A77">
        <w:rPr>
          <w:b/>
        </w:rPr>
        <w:tab/>
      </w:r>
      <w:r w:rsidRPr="00582A77">
        <w:rPr>
          <w:b/>
        </w:rPr>
        <w:tab/>
      </w:r>
      <w:r w:rsidRPr="00582A77">
        <w:rPr>
          <w:b/>
        </w:rPr>
        <w:tab/>
      </w:r>
      <w:r w:rsidRPr="00582A77">
        <w:rPr>
          <w:b/>
        </w:rPr>
        <w:tab/>
        <w:t>:</w:t>
      </w:r>
      <w:r w:rsidRPr="00892E21">
        <w:t xml:space="preserve"> Kan üre azotu </w:t>
      </w:r>
    </w:p>
    <w:p w:rsidR="00582A77" w:rsidRPr="00892E21" w:rsidRDefault="00582A77" w:rsidP="00582A77">
      <w:r w:rsidRPr="00582A77">
        <w:rPr>
          <w:b/>
        </w:rPr>
        <w:t>COX</w:t>
      </w:r>
      <w:r w:rsidRPr="00582A77">
        <w:rPr>
          <w:b/>
        </w:rPr>
        <w:tab/>
      </w:r>
      <w:r w:rsidRPr="00582A77">
        <w:rPr>
          <w:b/>
        </w:rPr>
        <w:tab/>
      </w:r>
      <w:r w:rsidRPr="00582A77">
        <w:rPr>
          <w:b/>
        </w:rPr>
        <w:tab/>
      </w:r>
      <w:r w:rsidRPr="00582A77">
        <w:rPr>
          <w:b/>
        </w:rPr>
        <w:tab/>
        <w:t>:</w:t>
      </w:r>
      <w:r w:rsidRPr="00892E21">
        <w:t xml:space="preserve"> Siklooksijenaz </w:t>
      </w:r>
    </w:p>
    <w:p w:rsidR="00582A77" w:rsidRPr="00892E21" w:rsidRDefault="00582A77" w:rsidP="00582A77">
      <w:r w:rsidRPr="00582A77">
        <w:rPr>
          <w:b/>
        </w:rPr>
        <w:t>CVO/SVO</w:t>
      </w:r>
      <w:r w:rsidRPr="00582A77">
        <w:rPr>
          <w:b/>
        </w:rPr>
        <w:tab/>
      </w:r>
      <w:r w:rsidRPr="00582A77">
        <w:rPr>
          <w:b/>
        </w:rPr>
        <w:tab/>
      </w:r>
      <w:r w:rsidRPr="00582A77">
        <w:rPr>
          <w:b/>
        </w:rPr>
        <w:tab/>
        <w:t>:</w:t>
      </w:r>
      <w:r w:rsidRPr="00892E21">
        <w:t xml:space="preserve"> Serebrovasküler olaylar </w:t>
      </w:r>
    </w:p>
    <w:p w:rsidR="00582A77" w:rsidRPr="00892E21" w:rsidRDefault="00582A77" w:rsidP="00582A77">
      <w:r w:rsidRPr="00582A77">
        <w:rPr>
          <w:b/>
        </w:rPr>
        <w:t>DM</w:t>
      </w:r>
      <w:r w:rsidRPr="00582A77">
        <w:rPr>
          <w:b/>
        </w:rPr>
        <w:tab/>
      </w:r>
      <w:r w:rsidRPr="00582A77">
        <w:rPr>
          <w:b/>
        </w:rPr>
        <w:tab/>
      </w:r>
      <w:r w:rsidRPr="00582A77">
        <w:rPr>
          <w:b/>
        </w:rPr>
        <w:tab/>
      </w:r>
      <w:r w:rsidRPr="00582A77">
        <w:rPr>
          <w:b/>
        </w:rPr>
        <w:tab/>
        <w:t>:</w:t>
      </w:r>
      <w:r w:rsidRPr="00892E21">
        <w:t xml:space="preserve"> Diyabetes mellitus </w:t>
      </w:r>
    </w:p>
    <w:p w:rsidR="00582A77" w:rsidRPr="00892E21" w:rsidRDefault="00582A77" w:rsidP="00582A77">
      <w:r w:rsidRPr="00582A77">
        <w:rPr>
          <w:b/>
        </w:rPr>
        <w:t>FENa</w:t>
      </w:r>
      <w:r w:rsidRPr="00582A77">
        <w:rPr>
          <w:b/>
        </w:rPr>
        <w:tab/>
      </w:r>
      <w:r w:rsidRPr="00582A77">
        <w:rPr>
          <w:b/>
        </w:rPr>
        <w:tab/>
      </w:r>
      <w:r w:rsidRPr="00582A77">
        <w:rPr>
          <w:b/>
        </w:rPr>
        <w:tab/>
      </w:r>
      <w:r w:rsidRPr="00582A77">
        <w:rPr>
          <w:b/>
        </w:rPr>
        <w:tab/>
        <w:t>:</w:t>
      </w:r>
      <w:r w:rsidRPr="00892E21">
        <w:t xml:space="preserve"> Fraksiyonel sodyum ekskresyonu </w:t>
      </w:r>
    </w:p>
    <w:p w:rsidR="00582A77" w:rsidRPr="00892E21" w:rsidRDefault="00582A77" w:rsidP="00582A77">
      <w:r w:rsidRPr="00582A77">
        <w:rPr>
          <w:b/>
        </w:rPr>
        <w:t>GBM</w:t>
      </w:r>
      <w:r w:rsidRPr="00582A77">
        <w:rPr>
          <w:b/>
        </w:rPr>
        <w:tab/>
      </w:r>
      <w:r w:rsidRPr="00582A77">
        <w:rPr>
          <w:b/>
        </w:rPr>
        <w:tab/>
      </w:r>
      <w:r w:rsidRPr="00582A77">
        <w:rPr>
          <w:b/>
        </w:rPr>
        <w:tab/>
      </w:r>
      <w:r w:rsidRPr="00582A77">
        <w:rPr>
          <w:b/>
        </w:rPr>
        <w:tab/>
        <w:t>:</w:t>
      </w:r>
      <w:r w:rsidRPr="00892E21">
        <w:t xml:space="preserve"> Glomerüler bazal membran </w:t>
      </w:r>
    </w:p>
    <w:p w:rsidR="00582A77" w:rsidRPr="00892E21" w:rsidRDefault="00582A77" w:rsidP="00582A77">
      <w:r w:rsidRPr="00582A77">
        <w:rPr>
          <w:b/>
        </w:rPr>
        <w:t>GFH</w:t>
      </w:r>
      <w:r w:rsidRPr="00582A77">
        <w:rPr>
          <w:b/>
        </w:rPr>
        <w:tab/>
      </w:r>
      <w:r w:rsidRPr="00582A77">
        <w:rPr>
          <w:b/>
        </w:rPr>
        <w:tab/>
      </w:r>
      <w:r w:rsidRPr="00582A77">
        <w:rPr>
          <w:b/>
        </w:rPr>
        <w:tab/>
      </w:r>
      <w:r w:rsidRPr="00582A77">
        <w:rPr>
          <w:b/>
        </w:rPr>
        <w:tab/>
        <w:t>:</w:t>
      </w:r>
      <w:r w:rsidRPr="00892E21">
        <w:t xml:space="preserve"> Glomerüler filtrasyon hızı </w:t>
      </w:r>
    </w:p>
    <w:p w:rsidR="00582A77" w:rsidRPr="00892E21" w:rsidRDefault="00582A77" w:rsidP="00582A77">
      <w:r w:rsidRPr="00582A77">
        <w:rPr>
          <w:b/>
        </w:rPr>
        <w:t>HCO3</w:t>
      </w:r>
      <w:r w:rsidRPr="00582A77">
        <w:rPr>
          <w:b/>
        </w:rPr>
        <w:tab/>
      </w:r>
      <w:r w:rsidRPr="00582A77">
        <w:rPr>
          <w:b/>
        </w:rPr>
        <w:tab/>
      </w:r>
      <w:r w:rsidRPr="00582A77">
        <w:rPr>
          <w:b/>
        </w:rPr>
        <w:tab/>
      </w:r>
      <w:r w:rsidRPr="00582A77">
        <w:rPr>
          <w:b/>
        </w:rPr>
        <w:tab/>
        <w:t>:</w:t>
      </w:r>
      <w:r w:rsidRPr="00892E21">
        <w:t xml:space="preserve"> Bikarbonat</w:t>
      </w:r>
    </w:p>
    <w:p w:rsidR="00582A77" w:rsidRPr="00892E21" w:rsidRDefault="00582A77" w:rsidP="00582A77">
      <w:r w:rsidRPr="00582A77">
        <w:rPr>
          <w:b/>
        </w:rPr>
        <w:t>HDL</w:t>
      </w:r>
      <w:r w:rsidRPr="00582A77">
        <w:rPr>
          <w:b/>
        </w:rPr>
        <w:tab/>
      </w:r>
      <w:r w:rsidRPr="00582A77">
        <w:rPr>
          <w:b/>
        </w:rPr>
        <w:tab/>
      </w:r>
      <w:r w:rsidRPr="00582A77">
        <w:rPr>
          <w:b/>
        </w:rPr>
        <w:tab/>
      </w:r>
      <w:r w:rsidRPr="00582A77">
        <w:rPr>
          <w:b/>
        </w:rPr>
        <w:tab/>
        <w:t>:</w:t>
      </w:r>
      <w:r w:rsidRPr="00892E21">
        <w:t xml:space="preserve"> High dencity lipoprotein</w:t>
      </w:r>
    </w:p>
    <w:p w:rsidR="00582A77" w:rsidRPr="00892E21" w:rsidRDefault="00582A77" w:rsidP="00582A77">
      <w:r w:rsidRPr="00582A77">
        <w:rPr>
          <w:b/>
        </w:rPr>
        <w:t>HL</w:t>
      </w:r>
      <w:r w:rsidRPr="00582A77">
        <w:rPr>
          <w:b/>
        </w:rPr>
        <w:tab/>
      </w:r>
      <w:r w:rsidRPr="00582A77">
        <w:rPr>
          <w:b/>
        </w:rPr>
        <w:tab/>
      </w:r>
      <w:r w:rsidRPr="00582A77">
        <w:rPr>
          <w:b/>
        </w:rPr>
        <w:tab/>
      </w:r>
      <w:r w:rsidRPr="00582A77">
        <w:rPr>
          <w:b/>
        </w:rPr>
        <w:tab/>
        <w:t>:</w:t>
      </w:r>
      <w:r w:rsidRPr="00892E21">
        <w:t xml:space="preserve"> Hiperlipidemi</w:t>
      </w:r>
    </w:p>
    <w:p w:rsidR="00582A77" w:rsidRPr="00892E21" w:rsidRDefault="00582A77" w:rsidP="00582A77">
      <w:r w:rsidRPr="00582A77">
        <w:rPr>
          <w:b/>
        </w:rPr>
        <w:t>HT</w:t>
      </w:r>
      <w:r w:rsidRPr="00582A77">
        <w:rPr>
          <w:b/>
        </w:rPr>
        <w:tab/>
      </w:r>
      <w:r w:rsidRPr="00582A77">
        <w:rPr>
          <w:b/>
        </w:rPr>
        <w:tab/>
      </w:r>
      <w:r w:rsidRPr="00582A77">
        <w:rPr>
          <w:b/>
        </w:rPr>
        <w:tab/>
      </w:r>
      <w:r w:rsidRPr="00582A77">
        <w:rPr>
          <w:b/>
        </w:rPr>
        <w:tab/>
        <w:t>:</w:t>
      </w:r>
      <w:r w:rsidRPr="00892E21">
        <w:t xml:space="preserve"> Hipertansiyon </w:t>
      </w:r>
    </w:p>
    <w:p w:rsidR="00582A77" w:rsidRPr="00892E21" w:rsidRDefault="00582A77" w:rsidP="00582A77">
      <w:r w:rsidRPr="00582A77">
        <w:rPr>
          <w:b/>
        </w:rPr>
        <w:t>LDL</w:t>
      </w:r>
      <w:r w:rsidRPr="00582A77">
        <w:rPr>
          <w:b/>
        </w:rPr>
        <w:tab/>
      </w:r>
      <w:r w:rsidRPr="00582A77">
        <w:rPr>
          <w:b/>
        </w:rPr>
        <w:tab/>
      </w:r>
      <w:r w:rsidRPr="00582A77">
        <w:rPr>
          <w:b/>
        </w:rPr>
        <w:tab/>
      </w:r>
      <w:r w:rsidRPr="00582A77">
        <w:rPr>
          <w:b/>
        </w:rPr>
        <w:tab/>
        <w:t>:</w:t>
      </w:r>
      <w:r w:rsidRPr="00892E21">
        <w:t xml:space="preserve"> Low dencity lipoprotein</w:t>
      </w:r>
    </w:p>
    <w:p w:rsidR="00582A77" w:rsidRPr="00892E21" w:rsidRDefault="00582A77" w:rsidP="00582A77">
      <w:r w:rsidRPr="00582A77">
        <w:rPr>
          <w:b/>
        </w:rPr>
        <w:t>K+</w:t>
      </w:r>
      <w:r w:rsidRPr="00582A77">
        <w:rPr>
          <w:b/>
        </w:rPr>
        <w:tab/>
      </w:r>
      <w:r w:rsidRPr="00582A77">
        <w:rPr>
          <w:b/>
        </w:rPr>
        <w:tab/>
      </w:r>
      <w:r w:rsidRPr="00582A77">
        <w:rPr>
          <w:b/>
        </w:rPr>
        <w:tab/>
      </w:r>
      <w:r w:rsidRPr="00582A77">
        <w:rPr>
          <w:b/>
        </w:rPr>
        <w:tab/>
        <w:t>:</w:t>
      </w:r>
      <w:r w:rsidRPr="00892E21">
        <w:t xml:space="preserve"> Potasyum iyonu </w:t>
      </w:r>
    </w:p>
    <w:p w:rsidR="00582A77" w:rsidRPr="00892E21" w:rsidRDefault="00582A77" w:rsidP="00582A77">
      <w:r w:rsidRPr="00582A77">
        <w:rPr>
          <w:b/>
        </w:rPr>
        <w:t>KAH</w:t>
      </w:r>
      <w:r w:rsidRPr="00582A77">
        <w:rPr>
          <w:b/>
        </w:rPr>
        <w:tab/>
      </w:r>
      <w:r w:rsidRPr="00582A77">
        <w:rPr>
          <w:b/>
        </w:rPr>
        <w:tab/>
      </w:r>
      <w:r w:rsidRPr="00582A77">
        <w:rPr>
          <w:b/>
        </w:rPr>
        <w:tab/>
      </w:r>
      <w:r w:rsidRPr="00582A77">
        <w:rPr>
          <w:b/>
        </w:rPr>
        <w:tab/>
        <w:t>:</w:t>
      </w:r>
      <w:r w:rsidRPr="00892E21">
        <w:t xml:space="preserve"> Koroner arter hastalığı </w:t>
      </w:r>
    </w:p>
    <w:p w:rsidR="00582A77" w:rsidRPr="00892E21" w:rsidRDefault="00582A77" w:rsidP="00582A77">
      <w:r w:rsidRPr="00582A77">
        <w:rPr>
          <w:b/>
        </w:rPr>
        <w:t>KOAH</w:t>
      </w:r>
      <w:r w:rsidRPr="00582A77">
        <w:rPr>
          <w:b/>
        </w:rPr>
        <w:tab/>
      </w:r>
      <w:r w:rsidRPr="00582A77">
        <w:rPr>
          <w:b/>
        </w:rPr>
        <w:tab/>
      </w:r>
      <w:r w:rsidRPr="00582A77">
        <w:rPr>
          <w:b/>
        </w:rPr>
        <w:tab/>
        <w:t>:</w:t>
      </w:r>
      <w:r w:rsidRPr="00892E21">
        <w:t xml:space="preserve"> Kronik obstrüktif akciğer hastalığı </w:t>
      </w:r>
    </w:p>
    <w:p w:rsidR="00582A77" w:rsidRPr="00892E21" w:rsidRDefault="00582A77" w:rsidP="00582A77">
      <w:r w:rsidRPr="00582A77">
        <w:rPr>
          <w:b/>
        </w:rPr>
        <w:t>KVH</w:t>
      </w:r>
      <w:r w:rsidRPr="00582A77">
        <w:rPr>
          <w:b/>
        </w:rPr>
        <w:tab/>
      </w:r>
      <w:r w:rsidRPr="00582A77">
        <w:rPr>
          <w:b/>
        </w:rPr>
        <w:tab/>
      </w:r>
      <w:r w:rsidRPr="00582A77">
        <w:rPr>
          <w:b/>
        </w:rPr>
        <w:tab/>
      </w:r>
      <w:r w:rsidRPr="00582A77">
        <w:rPr>
          <w:b/>
        </w:rPr>
        <w:tab/>
        <w:t>:</w:t>
      </w:r>
      <w:r w:rsidRPr="00892E21">
        <w:t xml:space="preserve"> Kardiyovasküler hastalıklar</w:t>
      </w:r>
    </w:p>
    <w:p w:rsidR="00582A77" w:rsidRPr="00892E21" w:rsidRDefault="00582A77" w:rsidP="00582A77">
      <w:r w:rsidRPr="00582A77">
        <w:rPr>
          <w:b/>
        </w:rPr>
        <w:t>KBY</w:t>
      </w:r>
      <w:r w:rsidRPr="00582A77">
        <w:rPr>
          <w:b/>
        </w:rPr>
        <w:tab/>
      </w:r>
      <w:r w:rsidRPr="00582A77">
        <w:rPr>
          <w:b/>
        </w:rPr>
        <w:tab/>
      </w:r>
      <w:r w:rsidRPr="00582A77">
        <w:rPr>
          <w:b/>
        </w:rPr>
        <w:tab/>
      </w:r>
      <w:r w:rsidRPr="00582A77">
        <w:rPr>
          <w:b/>
        </w:rPr>
        <w:tab/>
        <w:t>:</w:t>
      </w:r>
      <w:r w:rsidRPr="00892E21">
        <w:t xml:space="preserve"> Kronik böbrek yetmezliği</w:t>
      </w:r>
    </w:p>
    <w:p w:rsidR="00582A77" w:rsidRPr="00892E21" w:rsidRDefault="00582A77" w:rsidP="00582A77">
      <w:r w:rsidRPr="00582A77">
        <w:rPr>
          <w:b/>
        </w:rPr>
        <w:lastRenderedPageBreak/>
        <w:t>MV</w:t>
      </w:r>
      <w:r w:rsidRPr="00582A77">
        <w:rPr>
          <w:b/>
        </w:rPr>
        <w:tab/>
      </w:r>
      <w:r w:rsidRPr="00582A77">
        <w:rPr>
          <w:b/>
        </w:rPr>
        <w:tab/>
      </w:r>
      <w:r w:rsidRPr="00582A77">
        <w:rPr>
          <w:b/>
        </w:rPr>
        <w:tab/>
      </w:r>
      <w:r w:rsidRPr="00582A77">
        <w:rPr>
          <w:b/>
        </w:rPr>
        <w:tab/>
        <w:t>:</w:t>
      </w:r>
      <w:r w:rsidRPr="00892E21">
        <w:t xml:space="preserve"> Mekanik ventilatör </w:t>
      </w:r>
    </w:p>
    <w:p w:rsidR="00582A77" w:rsidRPr="00892E21" w:rsidRDefault="00582A77" w:rsidP="00582A77">
      <w:r w:rsidRPr="00582A77">
        <w:rPr>
          <w:b/>
        </w:rPr>
        <w:t>Na+</w:t>
      </w:r>
      <w:r w:rsidRPr="00582A77">
        <w:rPr>
          <w:b/>
        </w:rPr>
        <w:tab/>
      </w:r>
      <w:r w:rsidRPr="00582A77">
        <w:rPr>
          <w:b/>
        </w:rPr>
        <w:tab/>
      </w:r>
      <w:r w:rsidRPr="00582A77">
        <w:rPr>
          <w:b/>
        </w:rPr>
        <w:tab/>
      </w:r>
      <w:r w:rsidRPr="00582A77">
        <w:rPr>
          <w:b/>
        </w:rPr>
        <w:tab/>
        <w:t>:</w:t>
      </w:r>
      <w:r w:rsidRPr="00892E21">
        <w:t xml:space="preserve"> Sodyum iyonu </w:t>
      </w:r>
    </w:p>
    <w:p w:rsidR="00582A77" w:rsidRPr="00892E21" w:rsidRDefault="00582A77" w:rsidP="00582A77">
      <w:r w:rsidRPr="00582A77">
        <w:rPr>
          <w:b/>
        </w:rPr>
        <w:t>NO</w:t>
      </w:r>
      <w:r w:rsidRPr="00582A77">
        <w:rPr>
          <w:b/>
        </w:rPr>
        <w:tab/>
      </w:r>
      <w:r w:rsidRPr="00582A77">
        <w:rPr>
          <w:b/>
        </w:rPr>
        <w:tab/>
      </w:r>
      <w:r w:rsidRPr="00582A77">
        <w:rPr>
          <w:b/>
        </w:rPr>
        <w:tab/>
      </w:r>
      <w:r w:rsidRPr="00582A77">
        <w:rPr>
          <w:b/>
        </w:rPr>
        <w:tab/>
        <w:t>:</w:t>
      </w:r>
      <w:r w:rsidRPr="00892E21">
        <w:t xml:space="preserve"> Nitrik oksit </w:t>
      </w:r>
    </w:p>
    <w:p w:rsidR="00582A77" w:rsidRPr="00892E21" w:rsidRDefault="00582A77" w:rsidP="00582A77">
      <w:r w:rsidRPr="00582A77">
        <w:rPr>
          <w:b/>
        </w:rPr>
        <w:t>NSAİİ</w:t>
      </w:r>
      <w:r w:rsidRPr="00582A77">
        <w:rPr>
          <w:b/>
        </w:rPr>
        <w:tab/>
      </w:r>
      <w:r w:rsidRPr="00582A77">
        <w:rPr>
          <w:b/>
        </w:rPr>
        <w:tab/>
      </w:r>
      <w:r w:rsidRPr="00582A77">
        <w:rPr>
          <w:b/>
        </w:rPr>
        <w:tab/>
      </w:r>
      <w:r w:rsidRPr="00582A77">
        <w:rPr>
          <w:b/>
        </w:rPr>
        <w:tab/>
        <w:t>:</w:t>
      </w:r>
      <w:r w:rsidRPr="00892E21">
        <w:t xml:space="preserve"> Non-steroid antiinflamatuvar ilaçlar </w:t>
      </w:r>
    </w:p>
    <w:p w:rsidR="00582A77" w:rsidRPr="00892E21" w:rsidRDefault="00582A77" w:rsidP="00582A77">
      <w:r w:rsidRPr="00582A77">
        <w:rPr>
          <w:b/>
        </w:rPr>
        <w:t>NSTEMI</w:t>
      </w:r>
      <w:r w:rsidRPr="00582A77">
        <w:rPr>
          <w:b/>
        </w:rPr>
        <w:tab/>
      </w:r>
      <w:r w:rsidRPr="00582A77">
        <w:rPr>
          <w:b/>
        </w:rPr>
        <w:tab/>
      </w:r>
      <w:r w:rsidRPr="00582A77">
        <w:rPr>
          <w:b/>
        </w:rPr>
        <w:tab/>
        <w:t>:</w:t>
      </w:r>
      <w:r w:rsidRPr="00892E21">
        <w:t xml:space="preserve"> Non ST eleve miyokardiyal infarktüs </w:t>
      </w:r>
    </w:p>
    <w:p w:rsidR="00582A77" w:rsidRPr="00892E21" w:rsidRDefault="00582A77" w:rsidP="00582A77">
      <w:r w:rsidRPr="00582A77">
        <w:rPr>
          <w:b/>
        </w:rPr>
        <w:t>PTH</w:t>
      </w:r>
      <w:r w:rsidRPr="00582A77">
        <w:rPr>
          <w:b/>
        </w:rPr>
        <w:tab/>
      </w:r>
      <w:r w:rsidRPr="00582A77">
        <w:rPr>
          <w:b/>
        </w:rPr>
        <w:tab/>
      </w:r>
      <w:r w:rsidRPr="00582A77">
        <w:rPr>
          <w:b/>
        </w:rPr>
        <w:tab/>
      </w:r>
      <w:r w:rsidRPr="00582A77">
        <w:rPr>
          <w:b/>
        </w:rPr>
        <w:tab/>
        <w:t>:</w:t>
      </w:r>
      <w:r w:rsidRPr="00892E21">
        <w:t xml:space="preserve"> Parathormon </w:t>
      </w:r>
    </w:p>
    <w:p w:rsidR="00582A77" w:rsidRPr="00892E21" w:rsidRDefault="00582A77" w:rsidP="00582A77">
      <w:r w:rsidRPr="00582A77">
        <w:rPr>
          <w:b/>
        </w:rPr>
        <w:t>RAAS</w:t>
      </w:r>
      <w:r w:rsidRPr="00582A77">
        <w:rPr>
          <w:b/>
        </w:rPr>
        <w:tab/>
      </w:r>
      <w:r w:rsidRPr="00582A77">
        <w:rPr>
          <w:b/>
        </w:rPr>
        <w:tab/>
      </w:r>
      <w:r w:rsidRPr="00582A77">
        <w:rPr>
          <w:b/>
        </w:rPr>
        <w:tab/>
      </w:r>
      <w:r w:rsidRPr="00582A77">
        <w:rPr>
          <w:b/>
        </w:rPr>
        <w:tab/>
        <w:t>:</w:t>
      </w:r>
      <w:r w:rsidRPr="00892E21">
        <w:t xml:space="preserve"> Renin anjiyotensin aldosteron sistemi </w:t>
      </w:r>
    </w:p>
    <w:p w:rsidR="00582A77" w:rsidRPr="00892E21" w:rsidRDefault="00582A77" w:rsidP="00582A77">
      <w:r w:rsidRPr="00582A77">
        <w:rPr>
          <w:b/>
        </w:rPr>
        <w:t>RKN</w:t>
      </w:r>
      <w:r w:rsidRPr="00582A77">
        <w:rPr>
          <w:b/>
        </w:rPr>
        <w:tab/>
      </w:r>
      <w:r w:rsidRPr="00582A77">
        <w:rPr>
          <w:b/>
        </w:rPr>
        <w:tab/>
      </w:r>
      <w:r w:rsidRPr="00582A77">
        <w:rPr>
          <w:b/>
        </w:rPr>
        <w:tab/>
      </w:r>
      <w:r w:rsidRPr="00582A77">
        <w:rPr>
          <w:b/>
        </w:rPr>
        <w:tab/>
        <w:t>:</w:t>
      </w:r>
      <w:r w:rsidRPr="00892E21">
        <w:t xml:space="preserve"> Radyokontrast nefropatisi </w:t>
      </w:r>
    </w:p>
    <w:p w:rsidR="00582A77" w:rsidRPr="00892E21" w:rsidRDefault="00582A77" w:rsidP="00582A77">
      <w:r w:rsidRPr="00582A77">
        <w:rPr>
          <w:b/>
        </w:rPr>
        <w:t>STEMI</w:t>
      </w:r>
      <w:r w:rsidRPr="00582A77">
        <w:rPr>
          <w:b/>
        </w:rPr>
        <w:tab/>
      </w:r>
      <w:r w:rsidRPr="00582A77">
        <w:rPr>
          <w:b/>
        </w:rPr>
        <w:tab/>
      </w:r>
      <w:r w:rsidRPr="00582A77">
        <w:rPr>
          <w:b/>
        </w:rPr>
        <w:tab/>
        <w:t>:</w:t>
      </w:r>
      <w:r w:rsidRPr="00892E21">
        <w:t xml:space="preserve"> ST eleve miyokardiyal infarktüs </w:t>
      </w:r>
    </w:p>
    <w:p w:rsidR="00582A77" w:rsidRPr="00892E21" w:rsidRDefault="00582A77" w:rsidP="00582A77">
      <w:r w:rsidRPr="00582A77">
        <w:rPr>
          <w:b/>
        </w:rPr>
        <w:t>TLS</w:t>
      </w:r>
      <w:r w:rsidRPr="00582A77">
        <w:rPr>
          <w:b/>
        </w:rPr>
        <w:tab/>
      </w:r>
      <w:r w:rsidRPr="00582A77">
        <w:rPr>
          <w:b/>
        </w:rPr>
        <w:tab/>
      </w:r>
      <w:r w:rsidRPr="00582A77">
        <w:rPr>
          <w:b/>
        </w:rPr>
        <w:tab/>
      </w:r>
      <w:r w:rsidRPr="00582A77">
        <w:rPr>
          <w:b/>
        </w:rPr>
        <w:tab/>
        <w:t>:</w:t>
      </w:r>
      <w:r w:rsidRPr="00892E21">
        <w:t xml:space="preserve"> Tümör lizis sendromu </w:t>
      </w:r>
    </w:p>
    <w:p w:rsidR="00582A77" w:rsidRPr="00892E21" w:rsidRDefault="00582A77" w:rsidP="00582A77">
      <w:r w:rsidRPr="00582A77">
        <w:rPr>
          <w:b/>
        </w:rPr>
        <w:t>TPN</w:t>
      </w:r>
      <w:r w:rsidRPr="00582A77">
        <w:rPr>
          <w:b/>
        </w:rPr>
        <w:tab/>
      </w:r>
      <w:r w:rsidRPr="00582A77">
        <w:rPr>
          <w:b/>
        </w:rPr>
        <w:tab/>
      </w:r>
      <w:r w:rsidRPr="00582A77">
        <w:rPr>
          <w:b/>
        </w:rPr>
        <w:tab/>
      </w:r>
      <w:r w:rsidRPr="00582A77">
        <w:rPr>
          <w:b/>
        </w:rPr>
        <w:tab/>
        <w:t>:</w:t>
      </w:r>
      <w:r w:rsidRPr="00892E21">
        <w:t xml:space="preserve"> Total parenteral nutrisyon </w:t>
      </w:r>
    </w:p>
    <w:p w:rsidR="00582A77" w:rsidRPr="00892E21" w:rsidRDefault="00582A77" w:rsidP="00582A77">
      <w:r w:rsidRPr="00582A77">
        <w:rPr>
          <w:b/>
        </w:rPr>
        <w:t>VF</w:t>
      </w:r>
      <w:r w:rsidRPr="00582A77">
        <w:rPr>
          <w:b/>
        </w:rPr>
        <w:tab/>
      </w:r>
      <w:r w:rsidRPr="00582A77">
        <w:rPr>
          <w:b/>
        </w:rPr>
        <w:tab/>
      </w:r>
      <w:r w:rsidRPr="00582A77">
        <w:rPr>
          <w:b/>
        </w:rPr>
        <w:tab/>
      </w:r>
      <w:r w:rsidRPr="00582A77">
        <w:rPr>
          <w:b/>
        </w:rPr>
        <w:tab/>
        <w:t>:</w:t>
      </w:r>
      <w:r w:rsidRPr="00892E21">
        <w:t xml:space="preserve"> Ventriküler fibrilasyon</w:t>
      </w:r>
    </w:p>
    <w:p w:rsidR="00582A77" w:rsidRPr="00892E21" w:rsidRDefault="00582A77" w:rsidP="00582A77">
      <w:r w:rsidRPr="00582A77">
        <w:rPr>
          <w:b/>
        </w:rPr>
        <w:t>VT</w:t>
      </w:r>
      <w:r w:rsidRPr="00582A77">
        <w:rPr>
          <w:b/>
        </w:rPr>
        <w:tab/>
      </w:r>
      <w:r w:rsidRPr="00582A77">
        <w:rPr>
          <w:b/>
        </w:rPr>
        <w:tab/>
      </w:r>
      <w:r w:rsidRPr="00582A77">
        <w:rPr>
          <w:b/>
        </w:rPr>
        <w:tab/>
      </w:r>
      <w:r w:rsidRPr="00582A77">
        <w:rPr>
          <w:b/>
        </w:rPr>
        <w:tab/>
        <w:t>:</w:t>
      </w:r>
      <w:r w:rsidRPr="00892E21">
        <w:t xml:space="preserve"> Ventriküler taşikardi</w:t>
      </w:r>
    </w:p>
    <w:p w:rsidR="00C27C39" w:rsidRPr="0057493F" w:rsidRDefault="00742A83" w:rsidP="006911F3">
      <w:pPr>
        <w:pStyle w:val="Balk1"/>
        <w:jc w:val="center"/>
      </w:pPr>
      <w:r w:rsidRPr="0057493F">
        <w:br w:type="page"/>
      </w:r>
      <w:bookmarkStart w:id="9" w:name="_Toc420428283"/>
      <w:bookmarkStart w:id="10" w:name="_Toc459712396"/>
      <w:r w:rsidR="00C27C39" w:rsidRPr="0057493F">
        <w:lastRenderedPageBreak/>
        <w:t>ŞEKİLLER</w:t>
      </w:r>
      <w:bookmarkEnd w:id="9"/>
      <w:r w:rsidR="00E2641C" w:rsidRPr="0057493F">
        <w:t xml:space="preserve"> DİZİNİ</w:t>
      </w:r>
      <w:bookmarkEnd w:id="10"/>
    </w:p>
    <w:p w:rsidR="00742A83" w:rsidRPr="0057493F" w:rsidRDefault="00742A83" w:rsidP="00C27C39">
      <w:pPr>
        <w:spacing w:line="480" w:lineRule="auto"/>
        <w:rPr>
          <w:szCs w:val="24"/>
        </w:rPr>
      </w:pPr>
    </w:p>
    <w:p w:rsidR="001715F4" w:rsidRDefault="00C57A06">
      <w:pPr>
        <w:pStyle w:val="ekillerTablosu"/>
        <w:tabs>
          <w:tab w:val="right" w:leader="dot" w:pos="8777"/>
        </w:tabs>
        <w:rPr>
          <w:rFonts w:asciiTheme="minorHAnsi" w:eastAsiaTheme="minorEastAsia" w:hAnsiTheme="minorHAnsi" w:cstheme="minorBidi"/>
          <w:noProof/>
          <w:sz w:val="22"/>
          <w:lang w:eastAsia="tr-TR"/>
        </w:rPr>
      </w:pPr>
      <w:r w:rsidRPr="0057493F">
        <w:rPr>
          <w:szCs w:val="24"/>
        </w:rPr>
        <w:fldChar w:fldCharType="begin"/>
      </w:r>
      <w:r w:rsidR="000258A7" w:rsidRPr="0057493F">
        <w:rPr>
          <w:szCs w:val="24"/>
        </w:rPr>
        <w:instrText xml:space="preserve"> TOC \h \z \c "Şekil" </w:instrText>
      </w:r>
      <w:r w:rsidRPr="0057493F">
        <w:rPr>
          <w:szCs w:val="24"/>
        </w:rPr>
        <w:fldChar w:fldCharType="separate"/>
      </w:r>
      <w:hyperlink w:anchor="_Toc459713096" w:history="1">
        <w:r w:rsidR="001715F4" w:rsidRPr="008E5061">
          <w:rPr>
            <w:rStyle w:val="Kpr"/>
            <w:noProof/>
          </w:rPr>
          <w:t>Şekil 4.1. Hastane mortalitesi karşılaştırılması</w:t>
        </w:r>
        <w:r w:rsidR="001715F4">
          <w:rPr>
            <w:noProof/>
            <w:webHidden/>
          </w:rPr>
          <w:tab/>
        </w:r>
        <w:r>
          <w:rPr>
            <w:noProof/>
            <w:webHidden/>
          </w:rPr>
          <w:fldChar w:fldCharType="begin"/>
        </w:r>
        <w:r w:rsidR="001715F4">
          <w:rPr>
            <w:noProof/>
            <w:webHidden/>
          </w:rPr>
          <w:instrText xml:space="preserve"> PAGEREF _Toc459713096 \h </w:instrText>
        </w:r>
        <w:r>
          <w:rPr>
            <w:noProof/>
            <w:webHidden/>
          </w:rPr>
        </w:r>
        <w:r>
          <w:rPr>
            <w:noProof/>
            <w:webHidden/>
          </w:rPr>
          <w:fldChar w:fldCharType="separate"/>
        </w:r>
        <w:r w:rsidR="001C364D">
          <w:rPr>
            <w:noProof/>
            <w:webHidden/>
          </w:rPr>
          <w:t>31</w:t>
        </w:r>
        <w:r>
          <w:rPr>
            <w:noProof/>
            <w:webHidden/>
          </w:rPr>
          <w:fldChar w:fldCharType="end"/>
        </w:r>
      </w:hyperlink>
    </w:p>
    <w:p w:rsidR="00C27C39" w:rsidRPr="0057493F" w:rsidRDefault="00C57A06" w:rsidP="00671EA6">
      <w:pPr>
        <w:tabs>
          <w:tab w:val="left" w:pos="1134"/>
        </w:tabs>
        <w:ind w:left="1134" w:hanging="1134"/>
        <w:rPr>
          <w:szCs w:val="24"/>
        </w:rPr>
      </w:pPr>
      <w:r w:rsidRPr="0057493F">
        <w:rPr>
          <w:szCs w:val="24"/>
        </w:rPr>
        <w:fldChar w:fldCharType="end"/>
      </w:r>
    </w:p>
    <w:p w:rsidR="00C27C39" w:rsidRPr="0057493F" w:rsidRDefault="00742A83" w:rsidP="006911F3">
      <w:pPr>
        <w:pStyle w:val="Balk1"/>
        <w:jc w:val="center"/>
      </w:pPr>
      <w:r w:rsidRPr="0057493F">
        <w:br w:type="page"/>
      </w:r>
      <w:bookmarkStart w:id="11" w:name="_Toc420428284"/>
      <w:bookmarkStart w:id="12" w:name="_Toc459712397"/>
      <w:r w:rsidR="00C27C39" w:rsidRPr="0057493F">
        <w:lastRenderedPageBreak/>
        <w:t>TABLOLAR</w:t>
      </w:r>
      <w:bookmarkEnd w:id="11"/>
      <w:r w:rsidR="00E2641C" w:rsidRPr="0057493F">
        <w:t xml:space="preserve"> DİZİNİ</w:t>
      </w:r>
      <w:bookmarkEnd w:id="12"/>
    </w:p>
    <w:p w:rsidR="00742A83" w:rsidRPr="0057493F" w:rsidRDefault="00742A83" w:rsidP="00C27C39">
      <w:pPr>
        <w:spacing w:line="480" w:lineRule="auto"/>
        <w:rPr>
          <w:szCs w:val="24"/>
        </w:rPr>
      </w:pPr>
    </w:p>
    <w:p w:rsidR="001715F4" w:rsidRDefault="00C57A06">
      <w:pPr>
        <w:pStyle w:val="ekillerTablosu"/>
        <w:tabs>
          <w:tab w:val="right" w:leader="dot" w:pos="8777"/>
        </w:tabs>
        <w:rPr>
          <w:rFonts w:asciiTheme="minorHAnsi" w:eastAsiaTheme="minorEastAsia" w:hAnsiTheme="minorHAnsi" w:cstheme="minorBidi"/>
          <w:noProof/>
          <w:sz w:val="22"/>
          <w:lang w:eastAsia="tr-TR"/>
        </w:rPr>
      </w:pPr>
      <w:r w:rsidRPr="0057493F">
        <w:rPr>
          <w:szCs w:val="24"/>
        </w:rPr>
        <w:fldChar w:fldCharType="begin"/>
      </w:r>
      <w:r w:rsidR="00E2641C" w:rsidRPr="0057493F">
        <w:rPr>
          <w:szCs w:val="24"/>
        </w:rPr>
        <w:instrText xml:space="preserve"> TOC \h \z \c "Tablo" </w:instrText>
      </w:r>
      <w:r w:rsidRPr="0057493F">
        <w:rPr>
          <w:szCs w:val="24"/>
        </w:rPr>
        <w:fldChar w:fldCharType="separate"/>
      </w:r>
      <w:hyperlink w:anchor="_Toc459713105" w:history="1">
        <w:r w:rsidR="001715F4" w:rsidRPr="00D702DF">
          <w:rPr>
            <w:rStyle w:val="Kpr"/>
            <w:noProof/>
          </w:rPr>
          <w:t>Tablo 2.1. Prerenal ABH Nedenleri</w:t>
        </w:r>
        <w:r w:rsidR="001715F4">
          <w:rPr>
            <w:noProof/>
            <w:webHidden/>
          </w:rPr>
          <w:tab/>
        </w:r>
        <w:r>
          <w:rPr>
            <w:noProof/>
            <w:webHidden/>
          </w:rPr>
          <w:fldChar w:fldCharType="begin"/>
        </w:r>
        <w:r w:rsidR="001715F4">
          <w:rPr>
            <w:noProof/>
            <w:webHidden/>
          </w:rPr>
          <w:instrText xml:space="preserve"> PAGEREF _Toc459713105 \h </w:instrText>
        </w:r>
        <w:r>
          <w:rPr>
            <w:noProof/>
            <w:webHidden/>
          </w:rPr>
        </w:r>
        <w:r>
          <w:rPr>
            <w:noProof/>
            <w:webHidden/>
          </w:rPr>
          <w:fldChar w:fldCharType="separate"/>
        </w:r>
        <w:r w:rsidR="001C364D">
          <w:rPr>
            <w:noProof/>
            <w:webHidden/>
          </w:rPr>
          <w:t>3</w:t>
        </w:r>
        <w:r>
          <w:rPr>
            <w:noProof/>
            <w:webHidden/>
          </w:rPr>
          <w:fldChar w:fldCharType="end"/>
        </w:r>
      </w:hyperlink>
    </w:p>
    <w:p w:rsidR="001715F4" w:rsidRDefault="00C57A06">
      <w:pPr>
        <w:pStyle w:val="ekillerTablosu"/>
        <w:tabs>
          <w:tab w:val="right" w:leader="dot" w:pos="8777"/>
        </w:tabs>
        <w:rPr>
          <w:rFonts w:asciiTheme="minorHAnsi" w:eastAsiaTheme="minorEastAsia" w:hAnsiTheme="minorHAnsi" w:cstheme="minorBidi"/>
          <w:noProof/>
          <w:sz w:val="22"/>
          <w:lang w:eastAsia="tr-TR"/>
        </w:rPr>
      </w:pPr>
      <w:hyperlink w:anchor="_Toc459713106" w:history="1">
        <w:r w:rsidR="001715F4" w:rsidRPr="00D702DF">
          <w:rPr>
            <w:rStyle w:val="Kpr"/>
            <w:noProof/>
          </w:rPr>
          <w:t>Tablo 2.2. Renal (İntrinsik) ABH Nedenleri</w:t>
        </w:r>
        <w:r w:rsidR="001715F4">
          <w:rPr>
            <w:noProof/>
            <w:webHidden/>
          </w:rPr>
          <w:tab/>
        </w:r>
        <w:r>
          <w:rPr>
            <w:noProof/>
            <w:webHidden/>
          </w:rPr>
          <w:fldChar w:fldCharType="begin"/>
        </w:r>
        <w:r w:rsidR="001715F4">
          <w:rPr>
            <w:noProof/>
            <w:webHidden/>
          </w:rPr>
          <w:instrText xml:space="preserve"> PAGEREF _Toc459713106 \h </w:instrText>
        </w:r>
        <w:r>
          <w:rPr>
            <w:noProof/>
            <w:webHidden/>
          </w:rPr>
        </w:r>
        <w:r>
          <w:rPr>
            <w:noProof/>
            <w:webHidden/>
          </w:rPr>
          <w:fldChar w:fldCharType="separate"/>
        </w:r>
        <w:r w:rsidR="001C364D">
          <w:rPr>
            <w:noProof/>
            <w:webHidden/>
          </w:rPr>
          <w:t>4</w:t>
        </w:r>
        <w:r>
          <w:rPr>
            <w:noProof/>
            <w:webHidden/>
          </w:rPr>
          <w:fldChar w:fldCharType="end"/>
        </w:r>
      </w:hyperlink>
    </w:p>
    <w:p w:rsidR="001715F4" w:rsidRDefault="00C57A06">
      <w:pPr>
        <w:pStyle w:val="ekillerTablosu"/>
        <w:tabs>
          <w:tab w:val="right" w:leader="dot" w:pos="8777"/>
        </w:tabs>
        <w:rPr>
          <w:rFonts w:asciiTheme="minorHAnsi" w:eastAsiaTheme="minorEastAsia" w:hAnsiTheme="minorHAnsi" w:cstheme="minorBidi"/>
          <w:noProof/>
          <w:sz w:val="22"/>
          <w:lang w:eastAsia="tr-TR"/>
        </w:rPr>
      </w:pPr>
      <w:hyperlink w:anchor="_Toc459713107" w:history="1">
        <w:r w:rsidR="001715F4" w:rsidRPr="00D702DF">
          <w:rPr>
            <w:rStyle w:val="Kpr"/>
            <w:noProof/>
          </w:rPr>
          <w:t>Tablo 2.3. Postrenal ABH Nedenleri</w:t>
        </w:r>
        <w:r w:rsidR="001715F4">
          <w:rPr>
            <w:noProof/>
            <w:webHidden/>
          </w:rPr>
          <w:tab/>
        </w:r>
        <w:r>
          <w:rPr>
            <w:noProof/>
            <w:webHidden/>
          </w:rPr>
          <w:fldChar w:fldCharType="begin"/>
        </w:r>
        <w:r w:rsidR="001715F4">
          <w:rPr>
            <w:noProof/>
            <w:webHidden/>
          </w:rPr>
          <w:instrText xml:space="preserve"> PAGEREF _Toc459713107 \h </w:instrText>
        </w:r>
        <w:r>
          <w:rPr>
            <w:noProof/>
            <w:webHidden/>
          </w:rPr>
        </w:r>
        <w:r>
          <w:rPr>
            <w:noProof/>
            <w:webHidden/>
          </w:rPr>
          <w:fldChar w:fldCharType="separate"/>
        </w:r>
        <w:r w:rsidR="001C364D">
          <w:rPr>
            <w:noProof/>
            <w:webHidden/>
          </w:rPr>
          <w:t>7</w:t>
        </w:r>
        <w:r>
          <w:rPr>
            <w:noProof/>
            <w:webHidden/>
          </w:rPr>
          <w:fldChar w:fldCharType="end"/>
        </w:r>
      </w:hyperlink>
    </w:p>
    <w:p w:rsidR="001715F4" w:rsidRDefault="00C57A06">
      <w:pPr>
        <w:pStyle w:val="ekillerTablosu"/>
        <w:tabs>
          <w:tab w:val="right" w:leader="dot" w:pos="8777"/>
        </w:tabs>
        <w:rPr>
          <w:rFonts w:asciiTheme="minorHAnsi" w:eastAsiaTheme="minorEastAsia" w:hAnsiTheme="minorHAnsi" w:cstheme="minorBidi"/>
          <w:noProof/>
          <w:sz w:val="22"/>
          <w:lang w:eastAsia="tr-TR"/>
        </w:rPr>
      </w:pPr>
      <w:hyperlink w:anchor="_Toc459713108" w:history="1">
        <w:r w:rsidR="001715F4" w:rsidRPr="00D702DF">
          <w:rPr>
            <w:rStyle w:val="Kpr"/>
            <w:noProof/>
          </w:rPr>
          <w:t>Tablo 2.4. ABH'yi Kolaylaştıran Faktörler</w:t>
        </w:r>
        <w:r w:rsidR="001715F4">
          <w:rPr>
            <w:noProof/>
            <w:webHidden/>
          </w:rPr>
          <w:tab/>
        </w:r>
        <w:r>
          <w:rPr>
            <w:noProof/>
            <w:webHidden/>
          </w:rPr>
          <w:fldChar w:fldCharType="begin"/>
        </w:r>
        <w:r w:rsidR="001715F4">
          <w:rPr>
            <w:noProof/>
            <w:webHidden/>
          </w:rPr>
          <w:instrText xml:space="preserve"> PAGEREF _Toc459713108 \h </w:instrText>
        </w:r>
        <w:r>
          <w:rPr>
            <w:noProof/>
            <w:webHidden/>
          </w:rPr>
        </w:r>
        <w:r>
          <w:rPr>
            <w:noProof/>
            <w:webHidden/>
          </w:rPr>
          <w:fldChar w:fldCharType="separate"/>
        </w:r>
        <w:r w:rsidR="001C364D">
          <w:rPr>
            <w:noProof/>
            <w:webHidden/>
          </w:rPr>
          <w:t>8</w:t>
        </w:r>
        <w:r>
          <w:rPr>
            <w:noProof/>
            <w:webHidden/>
          </w:rPr>
          <w:fldChar w:fldCharType="end"/>
        </w:r>
      </w:hyperlink>
    </w:p>
    <w:p w:rsidR="001715F4" w:rsidRDefault="00C57A06">
      <w:pPr>
        <w:pStyle w:val="ekillerTablosu"/>
        <w:tabs>
          <w:tab w:val="right" w:leader="dot" w:pos="8777"/>
        </w:tabs>
        <w:rPr>
          <w:rFonts w:asciiTheme="minorHAnsi" w:eastAsiaTheme="minorEastAsia" w:hAnsiTheme="minorHAnsi" w:cstheme="minorBidi"/>
          <w:noProof/>
          <w:sz w:val="22"/>
          <w:lang w:eastAsia="tr-TR"/>
        </w:rPr>
      </w:pPr>
      <w:hyperlink w:anchor="_Toc459713109" w:history="1">
        <w:r w:rsidR="001715F4" w:rsidRPr="00D702DF">
          <w:rPr>
            <w:rStyle w:val="Kpr"/>
            <w:noProof/>
          </w:rPr>
          <w:t>Tablo 2.5. Prerenal ABH/Renal ABH Farkları</w:t>
        </w:r>
        <w:r w:rsidR="001715F4">
          <w:rPr>
            <w:noProof/>
            <w:webHidden/>
          </w:rPr>
          <w:tab/>
        </w:r>
        <w:r>
          <w:rPr>
            <w:noProof/>
            <w:webHidden/>
          </w:rPr>
          <w:fldChar w:fldCharType="begin"/>
        </w:r>
        <w:r w:rsidR="001715F4">
          <w:rPr>
            <w:noProof/>
            <w:webHidden/>
          </w:rPr>
          <w:instrText xml:space="preserve"> PAGEREF _Toc459713109 \h </w:instrText>
        </w:r>
        <w:r>
          <w:rPr>
            <w:noProof/>
            <w:webHidden/>
          </w:rPr>
        </w:r>
        <w:r>
          <w:rPr>
            <w:noProof/>
            <w:webHidden/>
          </w:rPr>
          <w:fldChar w:fldCharType="separate"/>
        </w:r>
        <w:r w:rsidR="001C364D">
          <w:rPr>
            <w:noProof/>
            <w:webHidden/>
          </w:rPr>
          <w:t>9</w:t>
        </w:r>
        <w:r>
          <w:rPr>
            <w:noProof/>
            <w:webHidden/>
          </w:rPr>
          <w:fldChar w:fldCharType="end"/>
        </w:r>
      </w:hyperlink>
    </w:p>
    <w:p w:rsidR="001715F4" w:rsidRDefault="00C57A06">
      <w:pPr>
        <w:pStyle w:val="ekillerTablosu"/>
        <w:tabs>
          <w:tab w:val="right" w:leader="dot" w:pos="8777"/>
        </w:tabs>
        <w:rPr>
          <w:rFonts w:asciiTheme="minorHAnsi" w:eastAsiaTheme="minorEastAsia" w:hAnsiTheme="minorHAnsi" w:cstheme="minorBidi"/>
          <w:noProof/>
          <w:sz w:val="22"/>
          <w:lang w:eastAsia="tr-TR"/>
        </w:rPr>
      </w:pPr>
      <w:hyperlink w:anchor="_Toc459713110" w:history="1">
        <w:r w:rsidR="001715F4" w:rsidRPr="00D702DF">
          <w:rPr>
            <w:rStyle w:val="Kpr"/>
            <w:noProof/>
          </w:rPr>
          <w:t>Tablo 2.6. RIFLE Kriterleri</w:t>
        </w:r>
        <w:r w:rsidR="001715F4">
          <w:rPr>
            <w:noProof/>
            <w:webHidden/>
          </w:rPr>
          <w:tab/>
        </w:r>
        <w:r>
          <w:rPr>
            <w:noProof/>
            <w:webHidden/>
          </w:rPr>
          <w:fldChar w:fldCharType="begin"/>
        </w:r>
        <w:r w:rsidR="001715F4">
          <w:rPr>
            <w:noProof/>
            <w:webHidden/>
          </w:rPr>
          <w:instrText xml:space="preserve"> PAGEREF _Toc459713110 \h </w:instrText>
        </w:r>
        <w:r>
          <w:rPr>
            <w:noProof/>
            <w:webHidden/>
          </w:rPr>
        </w:r>
        <w:r>
          <w:rPr>
            <w:noProof/>
            <w:webHidden/>
          </w:rPr>
          <w:fldChar w:fldCharType="separate"/>
        </w:r>
        <w:r w:rsidR="001C364D">
          <w:rPr>
            <w:noProof/>
            <w:webHidden/>
          </w:rPr>
          <w:t>11</w:t>
        </w:r>
        <w:r>
          <w:rPr>
            <w:noProof/>
            <w:webHidden/>
          </w:rPr>
          <w:fldChar w:fldCharType="end"/>
        </w:r>
      </w:hyperlink>
    </w:p>
    <w:p w:rsidR="001715F4" w:rsidRDefault="00C57A06">
      <w:pPr>
        <w:pStyle w:val="ekillerTablosu"/>
        <w:tabs>
          <w:tab w:val="right" w:leader="dot" w:pos="8777"/>
        </w:tabs>
        <w:rPr>
          <w:rFonts w:asciiTheme="minorHAnsi" w:eastAsiaTheme="minorEastAsia" w:hAnsiTheme="minorHAnsi" w:cstheme="minorBidi"/>
          <w:noProof/>
          <w:sz w:val="22"/>
          <w:lang w:eastAsia="tr-TR"/>
        </w:rPr>
      </w:pPr>
      <w:hyperlink w:anchor="_Toc459713111" w:history="1">
        <w:r w:rsidR="001715F4" w:rsidRPr="00D702DF">
          <w:rPr>
            <w:rStyle w:val="Kpr"/>
            <w:noProof/>
          </w:rPr>
          <w:t>Tablo 2.7. AKIN Kriterleri</w:t>
        </w:r>
        <w:r w:rsidR="001715F4">
          <w:rPr>
            <w:noProof/>
            <w:webHidden/>
          </w:rPr>
          <w:tab/>
        </w:r>
        <w:r>
          <w:rPr>
            <w:noProof/>
            <w:webHidden/>
          </w:rPr>
          <w:fldChar w:fldCharType="begin"/>
        </w:r>
        <w:r w:rsidR="001715F4">
          <w:rPr>
            <w:noProof/>
            <w:webHidden/>
          </w:rPr>
          <w:instrText xml:space="preserve"> PAGEREF _Toc459713111 \h </w:instrText>
        </w:r>
        <w:r>
          <w:rPr>
            <w:noProof/>
            <w:webHidden/>
          </w:rPr>
        </w:r>
        <w:r>
          <w:rPr>
            <w:noProof/>
            <w:webHidden/>
          </w:rPr>
          <w:fldChar w:fldCharType="separate"/>
        </w:r>
        <w:r w:rsidR="001C364D">
          <w:rPr>
            <w:noProof/>
            <w:webHidden/>
          </w:rPr>
          <w:t>12</w:t>
        </w:r>
        <w:r>
          <w:rPr>
            <w:noProof/>
            <w:webHidden/>
          </w:rPr>
          <w:fldChar w:fldCharType="end"/>
        </w:r>
      </w:hyperlink>
    </w:p>
    <w:p w:rsidR="001715F4" w:rsidRDefault="00C57A06">
      <w:pPr>
        <w:pStyle w:val="ekillerTablosu"/>
        <w:tabs>
          <w:tab w:val="right" w:leader="dot" w:pos="8777"/>
        </w:tabs>
        <w:rPr>
          <w:rFonts w:asciiTheme="minorHAnsi" w:eastAsiaTheme="minorEastAsia" w:hAnsiTheme="minorHAnsi" w:cstheme="minorBidi"/>
          <w:noProof/>
          <w:sz w:val="22"/>
          <w:lang w:eastAsia="tr-TR"/>
        </w:rPr>
      </w:pPr>
      <w:hyperlink w:anchor="_Toc459713112" w:history="1">
        <w:r w:rsidR="001715F4" w:rsidRPr="00D702DF">
          <w:rPr>
            <w:rStyle w:val="Kpr"/>
            <w:noProof/>
          </w:rPr>
          <w:t>Tablo 4.1. Toplam 321 Hastada Bakılan Bazal Parametreler</w:t>
        </w:r>
        <w:r w:rsidR="001715F4">
          <w:rPr>
            <w:noProof/>
            <w:webHidden/>
          </w:rPr>
          <w:tab/>
        </w:r>
        <w:r>
          <w:rPr>
            <w:noProof/>
            <w:webHidden/>
          </w:rPr>
          <w:fldChar w:fldCharType="begin"/>
        </w:r>
        <w:r w:rsidR="001715F4">
          <w:rPr>
            <w:noProof/>
            <w:webHidden/>
          </w:rPr>
          <w:instrText xml:space="preserve"> PAGEREF _Toc459713112 \h </w:instrText>
        </w:r>
        <w:r>
          <w:rPr>
            <w:noProof/>
            <w:webHidden/>
          </w:rPr>
        </w:r>
        <w:r>
          <w:rPr>
            <w:noProof/>
            <w:webHidden/>
          </w:rPr>
          <w:fldChar w:fldCharType="separate"/>
        </w:r>
        <w:r w:rsidR="001C364D">
          <w:rPr>
            <w:noProof/>
            <w:webHidden/>
          </w:rPr>
          <w:t>20</w:t>
        </w:r>
        <w:r>
          <w:rPr>
            <w:noProof/>
            <w:webHidden/>
          </w:rPr>
          <w:fldChar w:fldCharType="end"/>
        </w:r>
      </w:hyperlink>
    </w:p>
    <w:p w:rsidR="001715F4" w:rsidRDefault="00C57A06">
      <w:pPr>
        <w:pStyle w:val="ekillerTablosu"/>
        <w:tabs>
          <w:tab w:val="right" w:leader="dot" w:pos="8777"/>
        </w:tabs>
        <w:rPr>
          <w:rFonts w:asciiTheme="minorHAnsi" w:eastAsiaTheme="minorEastAsia" w:hAnsiTheme="minorHAnsi" w:cstheme="minorBidi"/>
          <w:noProof/>
          <w:sz w:val="22"/>
          <w:lang w:eastAsia="tr-TR"/>
        </w:rPr>
      </w:pPr>
      <w:hyperlink w:anchor="_Toc459713113" w:history="1">
        <w:r w:rsidR="001715F4" w:rsidRPr="00D702DF">
          <w:rPr>
            <w:rStyle w:val="Kpr"/>
            <w:noProof/>
          </w:rPr>
          <w:t>Tablo 4.2. Kontrast Öncesi ABH Gelişenler ve Gelişmeyenlerin Karşılaştırılması</w:t>
        </w:r>
        <w:r w:rsidR="001715F4">
          <w:rPr>
            <w:noProof/>
            <w:webHidden/>
          </w:rPr>
          <w:tab/>
        </w:r>
        <w:r>
          <w:rPr>
            <w:noProof/>
            <w:webHidden/>
          </w:rPr>
          <w:fldChar w:fldCharType="begin"/>
        </w:r>
        <w:r w:rsidR="001715F4">
          <w:rPr>
            <w:noProof/>
            <w:webHidden/>
          </w:rPr>
          <w:instrText xml:space="preserve"> PAGEREF _Toc459713113 \h </w:instrText>
        </w:r>
        <w:r>
          <w:rPr>
            <w:noProof/>
            <w:webHidden/>
          </w:rPr>
        </w:r>
        <w:r>
          <w:rPr>
            <w:noProof/>
            <w:webHidden/>
          </w:rPr>
          <w:fldChar w:fldCharType="separate"/>
        </w:r>
        <w:r w:rsidR="001C364D">
          <w:rPr>
            <w:noProof/>
            <w:webHidden/>
          </w:rPr>
          <w:t>22</w:t>
        </w:r>
        <w:r>
          <w:rPr>
            <w:noProof/>
            <w:webHidden/>
          </w:rPr>
          <w:fldChar w:fldCharType="end"/>
        </w:r>
      </w:hyperlink>
    </w:p>
    <w:p w:rsidR="001715F4" w:rsidRDefault="00C57A06">
      <w:pPr>
        <w:pStyle w:val="ekillerTablosu"/>
        <w:tabs>
          <w:tab w:val="right" w:leader="dot" w:pos="8777"/>
        </w:tabs>
        <w:rPr>
          <w:rFonts w:asciiTheme="minorHAnsi" w:eastAsiaTheme="minorEastAsia" w:hAnsiTheme="minorHAnsi" w:cstheme="minorBidi"/>
          <w:noProof/>
          <w:sz w:val="22"/>
          <w:lang w:eastAsia="tr-TR"/>
        </w:rPr>
      </w:pPr>
      <w:hyperlink w:anchor="_Toc459713114" w:history="1">
        <w:r w:rsidR="001715F4" w:rsidRPr="00D702DF">
          <w:rPr>
            <w:rStyle w:val="Kpr"/>
            <w:noProof/>
          </w:rPr>
          <w:t>Tablo 4.3. Total ABH Gelişenler ve Gelişmeyenlerin Karşılaştırılması</w:t>
        </w:r>
        <w:r w:rsidR="001715F4">
          <w:rPr>
            <w:noProof/>
            <w:webHidden/>
          </w:rPr>
          <w:tab/>
        </w:r>
        <w:r>
          <w:rPr>
            <w:noProof/>
            <w:webHidden/>
          </w:rPr>
          <w:fldChar w:fldCharType="begin"/>
        </w:r>
        <w:r w:rsidR="001715F4">
          <w:rPr>
            <w:noProof/>
            <w:webHidden/>
          </w:rPr>
          <w:instrText xml:space="preserve"> PAGEREF _Toc459713114 \h </w:instrText>
        </w:r>
        <w:r>
          <w:rPr>
            <w:noProof/>
            <w:webHidden/>
          </w:rPr>
        </w:r>
        <w:r>
          <w:rPr>
            <w:noProof/>
            <w:webHidden/>
          </w:rPr>
          <w:fldChar w:fldCharType="separate"/>
        </w:r>
        <w:r w:rsidR="001C364D">
          <w:rPr>
            <w:noProof/>
            <w:webHidden/>
          </w:rPr>
          <w:t>27</w:t>
        </w:r>
        <w:r>
          <w:rPr>
            <w:noProof/>
            <w:webHidden/>
          </w:rPr>
          <w:fldChar w:fldCharType="end"/>
        </w:r>
      </w:hyperlink>
    </w:p>
    <w:p w:rsidR="001715F4" w:rsidRDefault="00C57A06">
      <w:pPr>
        <w:pStyle w:val="ekillerTablosu"/>
        <w:tabs>
          <w:tab w:val="right" w:leader="dot" w:pos="8777"/>
        </w:tabs>
        <w:rPr>
          <w:rFonts w:asciiTheme="minorHAnsi" w:eastAsiaTheme="minorEastAsia" w:hAnsiTheme="minorHAnsi" w:cstheme="minorBidi"/>
          <w:noProof/>
          <w:sz w:val="22"/>
          <w:lang w:eastAsia="tr-TR"/>
        </w:rPr>
      </w:pPr>
      <w:hyperlink w:anchor="_Toc459713115" w:history="1">
        <w:r w:rsidR="001715F4" w:rsidRPr="00D702DF">
          <w:rPr>
            <w:rStyle w:val="Kpr"/>
            <w:noProof/>
          </w:rPr>
          <w:t>Tablo 4.4. Kontrast Öncesi ABH Bağımsız Risk Faktörleri</w:t>
        </w:r>
        <w:r w:rsidR="001715F4">
          <w:rPr>
            <w:noProof/>
            <w:webHidden/>
          </w:rPr>
          <w:tab/>
        </w:r>
        <w:r>
          <w:rPr>
            <w:noProof/>
            <w:webHidden/>
          </w:rPr>
          <w:fldChar w:fldCharType="begin"/>
        </w:r>
        <w:r w:rsidR="001715F4">
          <w:rPr>
            <w:noProof/>
            <w:webHidden/>
          </w:rPr>
          <w:instrText xml:space="preserve"> PAGEREF _Toc459713115 \h </w:instrText>
        </w:r>
        <w:r>
          <w:rPr>
            <w:noProof/>
            <w:webHidden/>
          </w:rPr>
        </w:r>
        <w:r>
          <w:rPr>
            <w:noProof/>
            <w:webHidden/>
          </w:rPr>
          <w:fldChar w:fldCharType="separate"/>
        </w:r>
        <w:r w:rsidR="001C364D">
          <w:rPr>
            <w:noProof/>
            <w:webHidden/>
          </w:rPr>
          <w:t>32</w:t>
        </w:r>
        <w:r>
          <w:rPr>
            <w:noProof/>
            <w:webHidden/>
          </w:rPr>
          <w:fldChar w:fldCharType="end"/>
        </w:r>
      </w:hyperlink>
    </w:p>
    <w:p w:rsidR="001715F4" w:rsidRDefault="00C57A06">
      <w:pPr>
        <w:pStyle w:val="ekillerTablosu"/>
        <w:tabs>
          <w:tab w:val="right" w:leader="dot" w:pos="8777"/>
        </w:tabs>
        <w:rPr>
          <w:rFonts w:asciiTheme="minorHAnsi" w:eastAsiaTheme="minorEastAsia" w:hAnsiTheme="minorHAnsi" w:cstheme="minorBidi"/>
          <w:noProof/>
          <w:sz w:val="22"/>
          <w:lang w:eastAsia="tr-TR"/>
        </w:rPr>
      </w:pPr>
      <w:hyperlink w:anchor="_Toc459713116" w:history="1">
        <w:r w:rsidR="001715F4" w:rsidRPr="00D702DF">
          <w:rPr>
            <w:rStyle w:val="Kpr"/>
            <w:noProof/>
          </w:rPr>
          <w:t>Tablo 4.5. Total ABH hastalarında Bağımsız Risk Faktörleri</w:t>
        </w:r>
        <w:r w:rsidR="001715F4">
          <w:rPr>
            <w:noProof/>
            <w:webHidden/>
          </w:rPr>
          <w:tab/>
        </w:r>
        <w:r>
          <w:rPr>
            <w:noProof/>
            <w:webHidden/>
          </w:rPr>
          <w:fldChar w:fldCharType="begin"/>
        </w:r>
        <w:r w:rsidR="001715F4">
          <w:rPr>
            <w:noProof/>
            <w:webHidden/>
          </w:rPr>
          <w:instrText xml:space="preserve"> PAGEREF _Toc459713116 \h </w:instrText>
        </w:r>
        <w:r>
          <w:rPr>
            <w:noProof/>
            <w:webHidden/>
          </w:rPr>
        </w:r>
        <w:r>
          <w:rPr>
            <w:noProof/>
            <w:webHidden/>
          </w:rPr>
          <w:fldChar w:fldCharType="separate"/>
        </w:r>
        <w:r w:rsidR="001C364D">
          <w:rPr>
            <w:noProof/>
            <w:webHidden/>
          </w:rPr>
          <w:t>32</w:t>
        </w:r>
        <w:r>
          <w:rPr>
            <w:noProof/>
            <w:webHidden/>
          </w:rPr>
          <w:fldChar w:fldCharType="end"/>
        </w:r>
      </w:hyperlink>
    </w:p>
    <w:p w:rsidR="00C27C39" w:rsidRPr="0057493F" w:rsidRDefault="00C57A06" w:rsidP="00E2641C">
      <w:pPr>
        <w:ind w:left="1134" w:hanging="1134"/>
        <w:rPr>
          <w:szCs w:val="24"/>
        </w:rPr>
      </w:pPr>
      <w:r w:rsidRPr="0057493F">
        <w:rPr>
          <w:szCs w:val="24"/>
        </w:rPr>
        <w:fldChar w:fldCharType="end"/>
      </w:r>
    </w:p>
    <w:p w:rsidR="00C27C39" w:rsidRPr="0057493F" w:rsidRDefault="00C27C39" w:rsidP="00C27C39">
      <w:pPr>
        <w:spacing w:line="480" w:lineRule="auto"/>
        <w:rPr>
          <w:szCs w:val="24"/>
        </w:rPr>
      </w:pPr>
    </w:p>
    <w:p w:rsidR="00305ADD" w:rsidRPr="0057493F" w:rsidRDefault="00305ADD" w:rsidP="00C27C39">
      <w:pPr>
        <w:spacing w:line="480" w:lineRule="auto"/>
        <w:rPr>
          <w:szCs w:val="24"/>
        </w:rPr>
        <w:sectPr w:rsidR="00305ADD" w:rsidRPr="0057493F" w:rsidSect="00305ADD">
          <w:pgSz w:w="11906" w:h="16838" w:code="9"/>
          <w:pgMar w:top="1418" w:right="1418" w:bottom="1418" w:left="1701" w:header="709" w:footer="709" w:gutter="0"/>
          <w:pgNumType w:fmt="upperRoman" w:start="3"/>
          <w:cols w:space="708"/>
          <w:docGrid w:linePitch="360"/>
        </w:sectPr>
      </w:pPr>
    </w:p>
    <w:p w:rsidR="00980147" w:rsidRPr="0057493F" w:rsidRDefault="00980147" w:rsidP="00AE2D0D">
      <w:pPr>
        <w:pStyle w:val="Balk1"/>
      </w:pPr>
      <w:bookmarkStart w:id="13" w:name="_Toc420428285"/>
      <w:bookmarkStart w:id="14" w:name="_Toc459712398"/>
      <w:r w:rsidRPr="0057493F">
        <w:lastRenderedPageBreak/>
        <w:t>1. GİRİŞ ve AMAÇ</w:t>
      </w:r>
      <w:bookmarkEnd w:id="13"/>
      <w:bookmarkEnd w:id="14"/>
    </w:p>
    <w:p w:rsidR="004C4BF0" w:rsidRPr="00F67102" w:rsidRDefault="004C4BF0" w:rsidP="004C4BF0">
      <w:pPr>
        <w:rPr>
          <w:color w:val="000000" w:themeColor="text1"/>
        </w:rPr>
      </w:pPr>
      <w:r>
        <w:rPr>
          <w:color w:val="000000" w:themeColor="text1"/>
        </w:rPr>
        <w:tab/>
      </w:r>
      <w:r w:rsidRPr="00F67102">
        <w:rPr>
          <w:color w:val="000000" w:themeColor="text1"/>
        </w:rPr>
        <w:t>Akut böbrek hasarı (ABH) genellikle asemptomatik seyreden ve hospitalize olan hastalarda biyokimyasal monitörizasyon sırasında yeni fark edilen kan üre azotu ve serum kreatinin konsantrasyonunda artış, glomeruler filtrasyon hızında (GFH) saatler veya günler içerisinde düşme ile karakterize bir yetmezlik tablosudur (1). Akut koroner sendromlu (AKS) hastalardayapılan tüm geçmiş çalışmalarda ABH mortalitede önemli belirleyici olarak tanımlanmıştır.</w:t>
      </w:r>
    </w:p>
    <w:p w:rsidR="004C4BF0" w:rsidRPr="00F67102" w:rsidRDefault="004C4BF0" w:rsidP="004C4BF0">
      <w:pPr>
        <w:rPr>
          <w:rStyle w:val="hps"/>
          <w:color w:val="000000" w:themeColor="text1"/>
        </w:rPr>
      </w:pPr>
      <w:r>
        <w:rPr>
          <w:color w:val="000000" w:themeColor="text1"/>
        </w:rPr>
        <w:tab/>
      </w:r>
      <w:r w:rsidRPr="00F67102">
        <w:rPr>
          <w:color w:val="000000" w:themeColor="text1"/>
        </w:rPr>
        <w:t>Kronik böbrek hastalığı (KBH)</w:t>
      </w:r>
      <w:r w:rsidR="000E4418">
        <w:rPr>
          <w:color w:val="000000" w:themeColor="text1"/>
        </w:rPr>
        <w:t xml:space="preserve"> </w:t>
      </w:r>
      <w:r w:rsidRPr="00F67102">
        <w:rPr>
          <w:rStyle w:val="hps"/>
          <w:color w:val="000000" w:themeColor="text1"/>
        </w:rPr>
        <w:t>böbrek fonksiyon bozukluğu</w:t>
      </w:r>
      <w:r w:rsidR="000E4418">
        <w:rPr>
          <w:rStyle w:val="hps"/>
          <w:color w:val="000000" w:themeColor="text1"/>
        </w:rPr>
        <w:t xml:space="preserve"> </w:t>
      </w:r>
      <w:r w:rsidRPr="00F67102">
        <w:rPr>
          <w:rStyle w:val="hps"/>
          <w:color w:val="000000" w:themeColor="text1"/>
        </w:rPr>
        <w:t>ile örtüşen</w:t>
      </w:r>
      <w:r w:rsidRPr="00F67102">
        <w:rPr>
          <w:color w:val="000000" w:themeColor="text1"/>
        </w:rPr>
        <w:t xml:space="preserve">, </w:t>
      </w:r>
      <w:r w:rsidRPr="00F67102">
        <w:rPr>
          <w:rStyle w:val="hps"/>
          <w:color w:val="000000" w:themeColor="text1"/>
        </w:rPr>
        <w:t>ağırlıklı olarak</w:t>
      </w:r>
      <w:r w:rsidR="000E4418">
        <w:rPr>
          <w:rStyle w:val="hps"/>
          <w:color w:val="000000" w:themeColor="text1"/>
        </w:rPr>
        <w:t xml:space="preserve"> </w:t>
      </w:r>
      <w:r w:rsidRPr="00F67102">
        <w:rPr>
          <w:rStyle w:val="hps"/>
          <w:color w:val="000000" w:themeColor="text1"/>
        </w:rPr>
        <w:t>yaşlı</w:t>
      </w:r>
      <w:r w:rsidR="000E4418">
        <w:rPr>
          <w:rStyle w:val="hps"/>
          <w:color w:val="000000" w:themeColor="text1"/>
        </w:rPr>
        <w:t xml:space="preserve"> </w:t>
      </w:r>
      <w:r w:rsidRPr="00F67102">
        <w:rPr>
          <w:rStyle w:val="hps"/>
          <w:color w:val="000000" w:themeColor="text1"/>
        </w:rPr>
        <w:t>hasta grubunu etkileyen v</w:t>
      </w:r>
      <w:r w:rsidRPr="00F67102">
        <w:rPr>
          <w:color w:val="000000" w:themeColor="text1"/>
        </w:rPr>
        <w:t xml:space="preserve">e diğer </w:t>
      </w:r>
      <w:r w:rsidRPr="00F67102">
        <w:rPr>
          <w:rStyle w:val="hps"/>
          <w:color w:val="000000" w:themeColor="text1"/>
        </w:rPr>
        <w:t>bilinen risk</w:t>
      </w:r>
      <w:r w:rsidR="000E4418">
        <w:rPr>
          <w:rStyle w:val="hps"/>
          <w:color w:val="000000" w:themeColor="text1"/>
        </w:rPr>
        <w:t xml:space="preserve"> </w:t>
      </w:r>
      <w:r w:rsidRPr="00F67102">
        <w:rPr>
          <w:rStyle w:val="hps"/>
          <w:color w:val="000000" w:themeColor="text1"/>
        </w:rPr>
        <w:t>faktörleri</w:t>
      </w:r>
      <w:r w:rsidR="000E4418">
        <w:rPr>
          <w:rStyle w:val="hps"/>
          <w:color w:val="000000" w:themeColor="text1"/>
        </w:rPr>
        <w:t xml:space="preserve"> </w:t>
      </w:r>
      <w:r w:rsidRPr="00F67102">
        <w:rPr>
          <w:rStyle w:val="hps"/>
          <w:color w:val="000000" w:themeColor="text1"/>
        </w:rPr>
        <w:t>kontrol edildikten sonra bile</w:t>
      </w:r>
      <w:r w:rsidR="000E4418">
        <w:rPr>
          <w:rStyle w:val="hps"/>
          <w:color w:val="000000" w:themeColor="text1"/>
        </w:rPr>
        <w:t xml:space="preserve"> </w:t>
      </w:r>
      <w:r w:rsidRPr="00F67102">
        <w:rPr>
          <w:rStyle w:val="hps"/>
          <w:color w:val="000000" w:themeColor="text1"/>
        </w:rPr>
        <w:t>kardiyovasküler</w:t>
      </w:r>
      <w:r w:rsidR="000E4418">
        <w:rPr>
          <w:rStyle w:val="hps"/>
          <w:color w:val="000000" w:themeColor="text1"/>
        </w:rPr>
        <w:t xml:space="preserve"> </w:t>
      </w:r>
      <w:r w:rsidRPr="00F67102">
        <w:rPr>
          <w:rStyle w:val="hps"/>
          <w:color w:val="000000" w:themeColor="text1"/>
        </w:rPr>
        <w:t>mortalitede artış</w:t>
      </w:r>
      <w:r w:rsidR="000E4418">
        <w:rPr>
          <w:rStyle w:val="hps"/>
          <w:color w:val="000000" w:themeColor="text1"/>
        </w:rPr>
        <w:t xml:space="preserve"> </w:t>
      </w:r>
      <w:r w:rsidRPr="00F67102">
        <w:rPr>
          <w:rStyle w:val="hps"/>
          <w:color w:val="000000" w:themeColor="text1"/>
        </w:rPr>
        <w:t>ile</w:t>
      </w:r>
      <w:r w:rsidR="000E4418">
        <w:rPr>
          <w:rStyle w:val="hps"/>
          <w:color w:val="000000" w:themeColor="text1"/>
        </w:rPr>
        <w:t xml:space="preserve"> </w:t>
      </w:r>
      <w:r w:rsidRPr="00F67102">
        <w:rPr>
          <w:rStyle w:val="hps"/>
          <w:color w:val="000000" w:themeColor="text1"/>
        </w:rPr>
        <w:t>ilişkili seyreden bir hastalıktır (2,3). Bazal GFH değeri günlük pratikte renal fonksiyon bozukluğunun en önemli yansımasıdır (4,5). Akut koroner sendromlu hastalarda ABH gelişiminde KBH'nın bağımsız risk faktörlerinden biri olduğu yönünde çalışmalar mevcuttur.</w:t>
      </w:r>
    </w:p>
    <w:p w:rsidR="004C4BF0" w:rsidRPr="00F67102" w:rsidRDefault="004C4BF0" w:rsidP="004C4BF0">
      <w:pPr>
        <w:rPr>
          <w:color w:val="000000" w:themeColor="text1"/>
        </w:rPr>
      </w:pPr>
      <w:r>
        <w:rPr>
          <w:color w:val="000000" w:themeColor="text1"/>
        </w:rPr>
        <w:tab/>
      </w:r>
      <w:r w:rsidRPr="00F67102">
        <w:rPr>
          <w:color w:val="000000" w:themeColor="text1"/>
        </w:rPr>
        <w:t>Biz bu çalışmada retrospektif olarak akut koroner sendromla hospitalize edilen hastalarda ABH’yı belirleyen risk faktörlerini inceledik.</w:t>
      </w:r>
      <w:r w:rsidR="000E4418">
        <w:rPr>
          <w:color w:val="000000" w:themeColor="text1"/>
        </w:rPr>
        <w:t xml:space="preserve"> </w:t>
      </w:r>
      <w:r w:rsidRPr="00F67102">
        <w:rPr>
          <w:color w:val="000000" w:themeColor="text1"/>
        </w:rPr>
        <w:t>Hem ABH gelişimini belirleyen risk faktörlerini hem de kontrast almadan önce ABH gelişen hastalarda risk faktörlerinin neler olduğunu araştırdık.</w:t>
      </w:r>
    </w:p>
    <w:p w:rsidR="004C4BF0" w:rsidRPr="00F67102" w:rsidRDefault="004C4BF0" w:rsidP="004C4BF0">
      <w:pPr>
        <w:rPr>
          <w:color w:val="000000" w:themeColor="text1"/>
        </w:rPr>
      </w:pPr>
      <w:r>
        <w:rPr>
          <w:color w:val="000000" w:themeColor="text1"/>
        </w:rPr>
        <w:tab/>
      </w:r>
      <w:r w:rsidRPr="00F67102">
        <w:rPr>
          <w:color w:val="000000" w:themeColor="text1"/>
        </w:rPr>
        <w:t xml:space="preserve">ABH tanı ve sınıflamasında kullanılan Acute Kidney Injury Network (AKIN) klasifikasyonunu tercih ettik. AKIN klasifikasyonu 2004 yılından beri bilinen RIFLE klasifikasyonundan sonra 2007 yılında tanımlanmıştır. RIFLE ve AKIN klasifikasyonu ABH tanısını yüksek spesifite ve sensitivite ile koyar, ABH şiddetini 3 evrede derecelendirerek prognostik olarak yol gösterir (6). </w:t>
      </w:r>
    </w:p>
    <w:p w:rsidR="004A0DB8" w:rsidRPr="004C4BF0" w:rsidRDefault="004C4BF0" w:rsidP="00AE2D0D">
      <w:pPr>
        <w:rPr>
          <w:color w:val="000000" w:themeColor="text1"/>
        </w:rPr>
      </w:pPr>
      <w:r>
        <w:rPr>
          <w:color w:val="000000" w:themeColor="text1"/>
        </w:rPr>
        <w:tab/>
      </w:r>
      <w:r w:rsidRPr="00F67102">
        <w:rPr>
          <w:color w:val="000000" w:themeColor="text1"/>
        </w:rPr>
        <w:t>LiteratürdeAKS'li hastalarda AKIN klasifikasyonunu kullanarak ABH'nin saptandığı  az sayıda çalışma vardır. Biz bu çalışmada retrospektif olarak akut koroner sendromla hospitalize edilen hastalarda hem ABH’yı hem de kontrast almadan önce ABH gelişimine yol açan risk faktörlerini bulmayı amaçladık. Ayrıca hem toplam ABH’nın hem de kontrast öncesi gelişen ABH'nın hastane yatış süresi ve mortalite üzerine olan etkilerini ayrı ayrı araştırmayı planladık</w:t>
      </w:r>
      <w:r>
        <w:rPr>
          <w:color w:val="000000" w:themeColor="text1"/>
        </w:rPr>
        <w:t>.</w:t>
      </w:r>
    </w:p>
    <w:p w:rsidR="00AE2D0D" w:rsidRDefault="00AE2D0D" w:rsidP="00D54766">
      <w:pPr>
        <w:rPr>
          <w:szCs w:val="24"/>
        </w:rPr>
      </w:pPr>
    </w:p>
    <w:p w:rsidR="00AE2D0D" w:rsidRPr="0057493F" w:rsidRDefault="00AE2D0D" w:rsidP="00D54766">
      <w:pPr>
        <w:rPr>
          <w:szCs w:val="24"/>
        </w:rPr>
        <w:sectPr w:rsidR="00AE2D0D" w:rsidRPr="0057493F" w:rsidSect="00C27C39">
          <w:pgSz w:w="11906" w:h="16838" w:code="9"/>
          <w:pgMar w:top="1418" w:right="1418" w:bottom="1418" w:left="1701" w:header="709" w:footer="709" w:gutter="0"/>
          <w:pgNumType w:start="1"/>
          <w:cols w:space="708"/>
          <w:docGrid w:linePitch="360"/>
        </w:sectPr>
      </w:pPr>
    </w:p>
    <w:p w:rsidR="00C63C52" w:rsidRDefault="00C63C52" w:rsidP="00C63C52">
      <w:pPr>
        <w:pStyle w:val="Balk1"/>
      </w:pPr>
      <w:bookmarkStart w:id="15" w:name="_Toc459712399"/>
      <w:r>
        <w:lastRenderedPageBreak/>
        <w:t>2. GENEL BİLGİLER</w:t>
      </w:r>
      <w:bookmarkEnd w:id="15"/>
    </w:p>
    <w:p w:rsidR="000E67C3" w:rsidRPr="000E67C3" w:rsidRDefault="000E67C3" w:rsidP="000E67C3">
      <w:pPr>
        <w:pStyle w:val="Balk2"/>
      </w:pPr>
      <w:bookmarkStart w:id="16" w:name="_Toc459712400"/>
      <w:r w:rsidRPr="000E67C3">
        <w:t>2.1. Akut Böbrek Hasarı Tanımı ve Epidemiyolojisi</w:t>
      </w:r>
      <w:bookmarkEnd w:id="16"/>
    </w:p>
    <w:p w:rsidR="000E67C3" w:rsidRPr="000E67C3" w:rsidRDefault="000E67C3" w:rsidP="000E67C3">
      <w:pPr>
        <w:rPr>
          <w:color w:val="000000" w:themeColor="text1"/>
          <w:szCs w:val="24"/>
        </w:rPr>
      </w:pPr>
      <w:r>
        <w:rPr>
          <w:color w:val="000000" w:themeColor="text1"/>
          <w:szCs w:val="24"/>
        </w:rPr>
        <w:tab/>
      </w:r>
      <w:r w:rsidRPr="000E67C3">
        <w:rPr>
          <w:color w:val="000000" w:themeColor="text1"/>
          <w:szCs w:val="24"/>
        </w:rPr>
        <w:t xml:space="preserve">Akut böbrek hasarı (ABH), böbrek fonksiyonlarında saatler veya günler içerisinde ani bozulma sonucu üre, kreatinin gibi metabolitlerin birikimi ile seyreden, özellikle hastanede yatan kritik hastalarda ortaya çıkan bir klinik sendromdur (7). Terminolojide geri döndürülebilir hasarı daha iyi vurguladığı ve çoğunlukla kalıcı yetmezlik tablosuyla sonuçlanmadığı için ABH terimi, akut böbrek yetmezliği (ABY) yerine daha çok tercih edilmektedir. </w:t>
      </w:r>
    </w:p>
    <w:p w:rsidR="000E67C3" w:rsidRPr="000E67C3" w:rsidRDefault="000E67C3" w:rsidP="000E67C3">
      <w:pPr>
        <w:rPr>
          <w:color w:val="000000" w:themeColor="text1"/>
          <w:szCs w:val="24"/>
        </w:rPr>
      </w:pPr>
      <w:r>
        <w:rPr>
          <w:color w:val="000000" w:themeColor="text1"/>
          <w:szCs w:val="24"/>
        </w:rPr>
        <w:tab/>
      </w:r>
      <w:r w:rsidRPr="000E67C3">
        <w:rPr>
          <w:color w:val="000000" w:themeColor="text1"/>
          <w:szCs w:val="24"/>
        </w:rPr>
        <w:t xml:space="preserve">Akut böbrek hasarı görülme sıklığı hastanede yatan hastalarda %7-18, yoğun bakımda yatan hastalarda % 36-67 olup hastanede yatan hastaların %5’inde diyalize gerek duyulmaktadır (8-13). Bu tablo sonucunda son dönem böbrek yetmezliği gelişimi ve uzak organ hasarı ile bağlantılı olarak hastane mortalitesinin arttığı gösterilmiştir. Bilhassa kronik böbrek hasarı zemininde gelişen ABH, son dönem böbrek yetmezliği gelişimi açısından önemli bir risk faktörü olarak belirlenmiştir (14-16). </w:t>
      </w:r>
    </w:p>
    <w:p w:rsidR="000E67C3" w:rsidRPr="000E67C3" w:rsidRDefault="000E67C3" w:rsidP="000E67C3">
      <w:pPr>
        <w:rPr>
          <w:color w:val="000000" w:themeColor="text1"/>
          <w:szCs w:val="24"/>
        </w:rPr>
      </w:pPr>
      <w:r>
        <w:rPr>
          <w:color w:val="000000" w:themeColor="text1"/>
          <w:szCs w:val="24"/>
        </w:rPr>
        <w:tab/>
      </w:r>
      <w:r w:rsidRPr="000E67C3">
        <w:rPr>
          <w:color w:val="000000" w:themeColor="text1"/>
          <w:szCs w:val="24"/>
        </w:rPr>
        <w:t xml:space="preserve">Çalışmalarda ABH insidansı ve mortalite oranlarındaki değişkenlik ABH tanı kriterlerinin standart olmayışından kaynaklanmaktadır.                                                                                                                                                                                                                                                                                                                                                                                                                                                                                      </w:t>
      </w:r>
    </w:p>
    <w:p w:rsidR="000E67C3" w:rsidRPr="000E67C3" w:rsidRDefault="000E67C3" w:rsidP="000E67C3">
      <w:pPr>
        <w:rPr>
          <w:b/>
          <w:color w:val="000000" w:themeColor="text1"/>
          <w:szCs w:val="24"/>
        </w:rPr>
      </w:pPr>
    </w:p>
    <w:p w:rsidR="000E67C3" w:rsidRPr="000E67C3" w:rsidRDefault="000E67C3" w:rsidP="000E67C3">
      <w:pPr>
        <w:pStyle w:val="Balk2"/>
      </w:pPr>
      <w:bookmarkStart w:id="17" w:name="_Toc459712401"/>
      <w:r w:rsidRPr="000E67C3">
        <w:t>2.2. Patogenez ve Etiyoloji</w:t>
      </w:r>
      <w:bookmarkEnd w:id="17"/>
    </w:p>
    <w:p w:rsidR="000E67C3" w:rsidRPr="000E67C3" w:rsidRDefault="000E67C3" w:rsidP="000E67C3">
      <w:pPr>
        <w:pStyle w:val="Balk3"/>
      </w:pPr>
      <w:bookmarkStart w:id="18" w:name="_Toc459712402"/>
      <w:r w:rsidRPr="000E67C3">
        <w:t>2.2.1. Patogenez</w:t>
      </w:r>
      <w:bookmarkEnd w:id="18"/>
    </w:p>
    <w:p w:rsidR="000E67C3" w:rsidRPr="000E67C3" w:rsidRDefault="000E67C3" w:rsidP="000E67C3">
      <w:pPr>
        <w:autoSpaceDE w:val="0"/>
        <w:autoSpaceDN w:val="0"/>
        <w:adjustRightInd w:val="0"/>
        <w:rPr>
          <w:color w:val="000000" w:themeColor="text1"/>
          <w:szCs w:val="24"/>
        </w:rPr>
      </w:pPr>
      <w:r>
        <w:rPr>
          <w:color w:val="000000" w:themeColor="text1"/>
          <w:szCs w:val="24"/>
        </w:rPr>
        <w:tab/>
      </w:r>
      <w:r w:rsidRPr="000E67C3">
        <w:rPr>
          <w:color w:val="000000" w:themeColor="text1"/>
          <w:szCs w:val="24"/>
        </w:rPr>
        <w:t>Böbreğin fonksiyonel en küçük anatomik birimi nefrondur ve her bir böbrek yaklaşık 1 milyon-1 milyon 200 bin nefron içerir. Her bir nefron glomerul (endotelyal, mezenşiyal, epitelyal hücreler) ve tübüllerden (proksimal,</w:t>
      </w:r>
      <w:r w:rsidR="00500346">
        <w:rPr>
          <w:color w:val="000000" w:themeColor="text1"/>
          <w:szCs w:val="24"/>
        </w:rPr>
        <w:t xml:space="preserve"> </w:t>
      </w:r>
      <w:r w:rsidRPr="000E67C3">
        <w:rPr>
          <w:color w:val="000000" w:themeColor="text1"/>
          <w:szCs w:val="24"/>
        </w:rPr>
        <w:t>henle,</w:t>
      </w:r>
      <w:r w:rsidR="00500346">
        <w:rPr>
          <w:color w:val="000000" w:themeColor="text1"/>
          <w:szCs w:val="24"/>
        </w:rPr>
        <w:t xml:space="preserve"> </w:t>
      </w:r>
      <w:r w:rsidRPr="000E67C3">
        <w:rPr>
          <w:color w:val="000000" w:themeColor="text1"/>
          <w:szCs w:val="24"/>
        </w:rPr>
        <w:t>distal,</w:t>
      </w:r>
      <w:r w:rsidR="00500346">
        <w:rPr>
          <w:color w:val="000000" w:themeColor="text1"/>
          <w:szCs w:val="24"/>
        </w:rPr>
        <w:t xml:space="preserve"> </w:t>
      </w:r>
      <w:r w:rsidRPr="000E67C3">
        <w:rPr>
          <w:color w:val="000000" w:themeColor="text1"/>
          <w:szCs w:val="24"/>
        </w:rPr>
        <w:t>toplayıcı) oluşmaktadır.</w:t>
      </w:r>
    </w:p>
    <w:p w:rsidR="000E67C3" w:rsidRPr="000E67C3" w:rsidRDefault="000E67C3" w:rsidP="000E67C3">
      <w:pPr>
        <w:autoSpaceDE w:val="0"/>
        <w:autoSpaceDN w:val="0"/>
        <w:adjustRightInd w:val="0"/>
        <w:rPr>
          <w:color w:val="000000" w:themeColor="text1"/>
          <w:szCs w:val="24"/>
        </w:rPr>
      </w:pPr>
      <w:r>
        <w:rPr>
          <w:color w:val="000000" w:themeColor="text1"/>
          <w:szCs w:val="24"/>
        </w:rPr>
        <w:tab/>
      </w:r>
      <w:r w:rsidRPr="000E67C3">
        <w:rPr>
          <w:color w:val="000000" w:themeColor="text1"/>
          <w:szCs w:val="24"/>
        </w:rPr>
        <w:t>Akut böbrek hasarı patogenezinde nefronun oksijenasyonu ve enerji ihtiyacının karşılanamaması önemli rol oynamaktadır. İskemi ve reperfüzyonun pro-inflamatuar sitokinlerin sentezi, kompleman sisteminin aktivasyonu, lökosit ve vasküler adhezyon moleküllerinde artış, vazokonstrüktör maddelerde (endotelin I, anjiyotensin II</w:t>
      </w:r>
      <w:r w:rsidR="00500346">
        <w:rPr>
          <w:color w:val="000000" w:themeColor="text1"/>
          <w:szCs w:val="24"/>
        </w:rPr>
        <w:t xml:space="preserve"> (AT2)</w:t>
      </w:r>
      <w:r w:rsidRPr="000E67C3">
        <w:rPr>
          <w:color w:val="000000" w:themeColor="text1"/>
          <w:szCs w:val="24"/>
        </w:rPr>
        <w:t>, tromboksan A2, lökotrienler C4 ve D4, prostoglandin H2 ve adenozin) belirgin artış, aynı zamanda vazodilatatör moleküllere (bradikinin, asetilkolin ve nitrik oksit</w:t>
      </w:r>
      <w:r w:rsidR="00500346">
        <w:rPr>
          <w:color w:val="000000" w:themeColor="text1"/>
          <w:szCs w:val="24"/>
        </w:rPr>
        <w:t xml:space="preserve"> (NO)</w:t>
      </w:r>
      <w:r w:rsidRPr="000E67C3">
        <w:rPr>
          <w:color w:val="000000" w:themeColor="text1"/>
          <w:szCs w:val="24"/>
        </w:rPr>
        <w:t xml:space="preserve">) azalmış yanıt gibi etkileri vardır (17-19). Erken dönemde tübüler bütünlük korunmakta ancak iskemi devam ettikçe uzamış vazokonstrüksiyona bağlı medullanın dış kısmında yerleşmiş olan tübüllerde, hipoksinin derinleştiği ve hücre ölümünün başladığı gözlenmektedir (17,20). </w:t>
      </w:r>
    </w:p>
    <w:p w:rsidR="000E67C3" w:rsidRPr="000E67C3" w:rsidRDefault="000E67C3" w:rsidP="000E67C3">
      <w:pPr>
        <w:rPr>
          <w:color w:val="000000" w:themeColor="text1"/>
          <w:szCs w:val="24"/>
        </w:rPr>
      </w:pPr>
      <w:r>
        <w:rPr>
          <w:color w:val="000000" w:themeColor="text1"/>
          <w:szCs w:val="24"/>
        </w:rPr>
        <w:lastRenderedPageBreak/>
        <w:tab/>
      </w:r>
      <w:r w:rsidRPr="000E67C3">
        <w:rPr>
          <w:color w:val="000000" w:themeColor="text1"/>
          <w:szCs w:val="24"/>
        </w:rPr>
        <w:t>Patogenezdeki bir diğer unsur olan inflamasyon tübül hücrelerinin iskeletinde ve polaritesinde bozulmaya, dolayısıyla nekroza yol açmaktadır. Apoptozis aracığıyla ölen hücre artıkları herhangi bir inflamatuvar mekanizma tetiklenmeksizin inflamasyonu önlemek için fagositler tarafından temizlenmektedir. KIM-1 gibi proteinlerin ABH sürecinde artarak apoptozise uğrayan hücrelerin fagositozunu artırdığı tespit edilmiştir (18, 21, 22).</w:t>
      </w:r>
    </w:p>
    <w:p w:rsidR="000E67C3" w:rsidRPr="000E67C3" w:rsidRDefault="000E67C3" w:rsidP="000E67C3">
      <w:pPr>
        <w:autoSpaceDE w:val="0"/>
        <w:autoSpaceDN w:val="0"/>
        <w:adjustRightInd w:val="0"/>
        <w:rPr>
          <w:b/>
          <w:color w:val="000000" w:themeColor="text1"/>
          <w:szCs w:val="24"/>
        </w:rPr>
      </w:pPr>
    </w:p>
    <w:p w:rsidR="000E67C3" w:rsidRPr="000E67C3" w:rsidRDefault="000E67C3" w:rsidP="000E67C3">
      <w:pPr>
        <w:pStyle w:val="Balk3"/>
      </w:pPr>
      <w:bookmarkStart w:id="19" w:name="_Toc459712403"/>
      <w:r w:rsidRPr="000E67C3">
        <w:t>2.2.2</w:t>
      </w:r>
      <w:r>
        <w:t>.</w:t>
      </w:r>
      <w:r w:rsidRPr="000E67C3">
        <w:t xml:space="preserve"> Prerenal ABH (Prerenal Azotemi)</w:t>
      </w:r>
      <w:bookmarkEnd w:id="19"/>
    </w:p>
    <w:p w:rsidR="000E67C3" w:rsidRPr="000E67C3" w:rsidRDefault="000E67C3" w:rsidP="000E67C3">
      <w:pPr>
        <w:autoSpaceDE w:val="0"/>
        <w:autoSpaceDN w:val="0"/>
        <w:adjustRightInd w:val="0"/>
        <w:rPr>
          <w:color w:val="000000" w:themeColor="text1"/>
          <w:szCs w:val="24"/>
        </w:rPr>
      </w:pPr>
      <w:r>
        <w:rPr>
          <w:color w:val="000000" w:themeColor="text1"/>
          <w:szCs w:val="24"/>
        </w:rPr>
        <w:tab/>
      </w:r>
      <w:r w:rsidRPr="000E67C3">
        <w:rPr>
          <w:color w:val="000000" w:themeColor="text1"/>
          <w:szCs w:val="24"/>
        </w:rPr>
        <w:t xml:space="preserve">Prerenal azotemi ABH’nin en sık nedenidir. Genellikle ekstrasellüler sıvı kaybı sonucunda oluşur (kanama, kusma, ishal, diüretik vs).  Kısa süreli hipoperfüzyon sonucu renal parankim hasarı oluşmadan prerenal ABH gelişirken, hipoperfüzyon uzarsa hasarlanma sonucu renal ABH gelişir (23). Renal su ve sodyum geri emilimi artar, bu sebeple renal ABH'den farklı olarak fraksiyonel sodyum ekskresyonu (FENa) % 1’in altındadır. Prerenal azotemide böbrek parankim dokusu sağlamdır, renal hipoperfüzyon ortadan kaldırılırsa renal fonksiyonlar 24-48 saatte hızla düzelmeye başlar (24). </w:t>
      </w:r>
    </w:p>
    <w:p w:rsidR="000E67C3" w:rsidRPr="000E67C3" w:rsidRDefault="000E67C3" w:rsidP="000E67C3">
      <w:pPr>
        <w:rPr>
          <w:color w:val="000000" w:themeColor="text1"/>
          <w:szCs w:val="24"/>
        </w:rPr>
      </w:pPr>
      <w:r>
        <w:rPr>
          <w:color w:val="000000" w:themeColor="text1"/>
          <w:szCs w:val="24"/>
        </w:rPr>
        <w:tab/>
      </w:r>
      <w:r w:rsidRPr="000E67C3">
        <w:rPr>
          <w:color w:val="000000" w:themeColor="text1"/>
          <w:szCs w:val="24"/>
        </w:rPr>
        <w:t>Prerenal azotemi ABH'nin en sık sebebi (%75) olup sıklıkla iskemik akut tübüler nekroz ile birliktedir (25) . Etiyolojiden renal perfüzyon bozukluğuna yol açan durumlar sorumludur (Tablo 2.1).</w:t>
      </w:r>
    </w:p>
    <w:p w:rsidR="000E67C3" w:rsidRPr="000E67C3" w:rsidRDefault="000E67C3" w:rsidP="000E67C3">
      <w:pPr>
        <w:rPr>
          <w:color w:val="000000" w:themeColor="text1"/>
          <w:szCs w:val="24"/>
        </w:rPr>
      </w:pPr>
    </w:p>
    <w:p w:rsidR="000E67C3" w:rsidRPr="000E67C3" w:rsidRDefault="000E67C3" w:rsidP="000E67C3">
      <w:pPr>
        <w:rPr>
          <w:color w:val="000000" w:themeColor="text1"/>
          <w:szCs w:val="24"/>
        </w:rPr>
      </w:pPr>
    </w:p>
    <w:p w:rsidR="000E67C3" w:rsidRPr="000E67C3" w:rsidRDefault="000E67C3" w:rsidP="000E67C3">
      <w:pPr>
        <w:pStyle w:val="ResimYazs"/>
        <w:rPr>
          <w:color w:val="000000" w:themeColor="text1"/>
          <w:szCs w:val="24"/>
        </w:rPr>
      </w:pPr>
      <w:r w:rsidRPr="000E67C3">
        <w:rPr>
          <w:color w:val="000000" w:themeColor="text1"/>
          <w:szCs w:val="24"/>
        </w:rPr>
        <w:t xml:space="preserve"> </w:t>
      </w:r>
      <w:bookmarkStart w:id="20" w:name="_Toc459713105"/>
      <w:r>
        <w:t xml:space="preserve">Tablo </w:t>
      </w:r>
      <w:r w:rsidR="001715F4">
        <w:t>2</w:t>
      </w:r>
      <w:r w:rsidR="00382CFB">
        <w:t>.</w:t>
      </w:r>
      <w:r w:rsidR="00C57A06">
        <w:fldChar w:fldCharType="begin"/>
      </w:r>
      <w:r w:rsidR="00353523">
        <w:instrText xml:space="preserve"> SEQ Tablo \* ARABIC \s 1 </w:instrText>
      </w:r>
      <w:r w:rsidR="00C57A06">
        <w:fldChar w:fldCharType="separate"/>
      </w:r>
      <w:r w:rsidR="001C364D">
        <w:rPr>
          <w:noProof/>
        </w:rPr>
        <w:t>1</w:t>
      </w:r>
      <w:r w:rsidR="00C57A06">
        <w:rPr>
          <w:noProof/>
        </w:rPr>
        <w:fldChar w:fldCharType="end"/>
      </w:r>
      <w:r>
        <w:t xml:space="preserve">. </w:t>
      </w:r>
      <w:r w:rsidRPr="000E67C3">
        <w:rPr>
          <w:color w:val="000000" w:themeColor="text1"/>
          <w:szCs w:val="24"/>
        </w:rPr>
        <w:t>Prerenal ABH Nedenleri</w:t>
      </w:r>
      <w:bookmarkEnd w:id="20"/>
    </w:p>
    <w:tbl>
      <w:tblPr>
        <w:tblStyle w:val="TabloKlavuzu"/>
        <w:tblW w:w="4884" w:type="pct"/>
        <w:tblInd w:w="108" w:type="dxa"/>
        <w:tblBorders>
          <w:insideH w:val="none" w:sz="0" w:space="0" w:color="auto"/>
          <w:insideV w:val="none" w:sz="0" w:space="0" w:color="auto"/>
        </w:tblBorders>
        <w:tblLook w:val="04A0"/>
      </w:tblPr>
      <w:tblGrid>
        <w:gridCol w:w="8794"/>
      </w:tblGrid>
      <w:tr w:rsidR="000E67C3" w:rsidRPr="000E67C3" w:rsidTr="00FF149C">
        <w:tc>
          <w:tcPr>
            <w:tcW w:w="5000" w:type="pct"/>
          </w:tcPr>
          <w:p w:rsidR="000E67C3" w:rsidRPr="00FF149C" w:rsidRDefault="000E67C3" w:rsidP="00FF149C">
            <w:pPr>
              <w:pStyle w:val="ListeParagraf"/>
              <w:numPr>
                <w:ilvl w:val="0"/>
                <w:numId w:val="25"/>
              </w:numPr>
              <w:autoSpaceDE w:val="0"/>
              <w:autoSpaceDN w:val="0"/>
              <w:adjustRightInd w:val="0"/>
              <w:rPr>
                <w:b/>
                <w:color w:val="000000" w:themeColor="text1"/>
                <w:szCs w:val="24"/>
              </w:rPr>
            </w:pPr>
            <w:r w:rsidRPr="00FF149C">
              <w:rPr>
                <w:b/>
                <w:color w:val="000000" w:themeColor="text1"/>
                <w:szCs w:val="24"/>
              </w:rPr>
              <w:t>Hipovolemi</w:t>
            </w:r>
          </w:p>
          <w:p w:rsidR="000E67C3" w:rsidRPr="000E67C3" w:rsidRDefault="000E67C3" w:rsidP="009C6BB2">
            <w:pPr>
              <w:autoSpaceDE w:val="0"/>
              <w:autoSpaceDN w:val="0"/>
              <w:adjustRightInd w:val="0"/>
              <w:rPr>
                <w:color w:val="000000" w:themeColor="text1"/>
                <w:szCs w:val="24"/>
              </w:rPr>
            </w:pPr>
            <w:r w:rsidRPr="000E67C3">
              <w:rPr>
                <w:rFonts w:ascii="Cambria Math" w:hAnsi="Cambria Math" w:cs="Cambria Math"/>
                <w:color w:val="000000" w:themeColor="text1"/>
                <w:szCs w:val="24"/>
              </w:rPr>
              <w:t>‐</w:t>
            </w:r>
            <w:r w:rsidRPr="000E67C3">
              <w:rPr>
                <w:color w:val="000000" w:themeColor="text1"/>
                <w:szCs w:val="24"/>
              </w:rPr>
              <w:t>Gastrointestinal kayıp (kusma, diyare, nazogastrik drenaj)</w:t>
            </w:r>
          </w:p>
          <w:p w:rsidR="000E67C3" w:rsidRPr="000E67C3" w:rsidRDefault="000E67C3" w:rsidP="009C6BB2">
            <w:pPr>
              <w:autoSpaceDE w:val="0"/>
              <w:autoSpaceDN w:val="0"/>
              <w:adjustRightInd w:val="0"/>
              <w:rPr>
                <w:color w:val="000000" w:themeColor="text1"/>
                <w:szCs w:val="24"/>
              </w:rPr>
            </w:pPr>
            <w:r w:rsidRPr="000E67C3">
              <w:rPr>
                <w:rFonts w:ascii="Cambria Math" w:hAnsi="Cambria Math" w:cs="Cambria Math"/>
                <w:color w:val="000000" w:themeColor="text1"/>
                <w:szCs w:val="24"/>
              </w:rPr>
              <w:t>‐</w:t>
            </w:r>
            <w:r w:rsidRPr="000E67C3">
              <w:rPr>
                <w:color w:val="000000" w:themeColor="text1"/>
                <w:szCs w:val="24"/>
              </w:rPr>
              <w:t>Kanama (gastrointestinal, obstetrik, travma, cerrahi)</w:t>
            </w:r>
          </w:p>
          <w:p w:rsidR="000E67C3" w:rsidRPr="000E67C3" w:rsidRDefault="000E67C3" w:rsidP="009C6BB2">
            <w:pPr>
              <w:autoSpaceDE w:val="0"/>
              <w:autoSpaceDN w:val="0"/>
              <w:adjustRightInd w:val="0"/>
              <w:rPr>
                <w:color w:val="000000" w:themeColor="text1"/>
                <w:szCs w:val="24"/>
              </w:rPr>
            </w:pPr>
            <w:r w:rsidRPr="000E67C3">
              <w:rPr>
                <w:rFonts w:ascii="Cambria Math" w:hAnsi="Cambria Math" w:cs="Cambria Math"/>
                <w:color w:val="000000" w:themeColor="text1"/>
                <w:szCs w:val="24"/>
              </w:rPr>
              <w:t>‐</w:t>
            </w:r>
            <w:r w:rsidRPr="000E67C3">
              <w:rPr>
                <w:color w:val="000000" w:themeColor="text1"/>
                <w:szCs w:val="24"/>
              </w:rPr>
              <w:t>Renal kayıp (diüretik, osmotik diürez, adrenal yetmezlik, diyabetes insipitus)</w:t>
            </w:r>
          </w:p>
          <w:p w:rsidR="000E67C3" w:rsidRPr="000E67C3" w:rsidRDefault="000E67C3" w:rsidP="009C6BB2">
            <w:pPr>
              <w:autoSpaceDE w:val="0"/>
              <w:autoSpaceDN w:val="0"/>
              <w:adjustRightInd w:val="0"/>
              <w:rPr>
                <w:color w:val="000000" w:themeColor="text1"/>
                <w:szCs w:val="24"/>
              </w:rPr>
            </w:pPr>
            <w:r w:rsidRPr="000E67C3">
              <w:rPr>
                <w:rFonts w:ascii="Cambria Math" w:hAnsi="Cambria Math" w:cs="Cambria Math"/>
                <w:color w:val="000000" w:themeColor="text1"/>
                <w:szCs w:val="24"/>
              </w:rPr>
              <w:t>‐</w:t>
            </w:r>
            <w:r w:rsidRPr="000E67C3">
              <w:rPr>
                <w:color w:val="000000" w:themeColor="text1"/>
                <w:szCs w:val="24"/>
              </w:rPr>
              <w:t>Cilt ve mukozal kayıp (yanık, hipertermi, dehidratasyon)</w:t>
            </w:r>
          </w:p>
          <w:p w:rsidR="000E67C3" w:rsidRPr="000E67C3" w:rsidRDefault="000E67C3" w:rsidP="009C6BB2">
            <w:pPr>
              <w:autoSpaceDE w:val="0"/>
              <w:autoSpaceDN w:val="0"/>
              <w:adjustRightInd w:val="0"/>
              <w:rPr>
                <w:color w:val="000000" w:themeColor="text1"/>
                <w:szCs w:val="24"/>
              </w:rPr>
            </w:pPr>
            <w:r w:rsidRPr="000E67C3">
              <w:rPr>
                <w:rFonts w:ascii="Cambria Math" w:hAnsi="Cambria Math" w:cs="Cambria Math"/>
                <w:color w:val="000000" w:themeColor="text1"/>
                <w:szCs w:val="24"/>
              </w:rPr>
              <w:t>‐</w:t>
            </w:r>
            <w:r w:rsidRPr="000E67C3">
              <w:rPr>
                <w:color w:val="000000" w:themeColor="text1"/>
                <w:szCs w:val="24"/>
              </w:rPr>
              <w:t>Ekstravasküler boşluğa kayıp (peritonit, Crush sendromu, pankreatit, derin hipoalbüminemi, yanık)</w:t>
            </w:r>
          </w:p>
        </w:tc>
      </w:tr>
      <w:tr w:rsidR="000E67C3" w:rsidRPr="000E67C3" w:rsidTr="00FF149C">
        <w:tc>
          <w:tcPr>
            <w:tcW w:w="5000" w:type="pct"/>
          </w:tcPr>
          <w:p w:rsidR="000E67C3" w:rsidRPr="00FF149C" w:rsidRDefault="000E67C3" w:rsidP="009C6BB2">
            <w:pPr>
              <w:autoSpaceDE w:val="0"/>
              <w:autoSpaceDN w:val="0"/>
              <w:adjustRightInd w:val="0"/>
              <w:rPr>
                <w:b/>
                <w:color w:val="000000" w:themeColor="text1"/>
                <w:szCs w:val="24"/>
              </w:rPr>
            </w:pPr>
            <w:r w:rsidRPr="00FF149C">
              <w:rPr>
                <w:b/>
                <w:color w:val="000000" w:themeColor="text1"/>
                <w:szCs w:val="24"/>
              </w:rPr>
              <w:t>2.</w:t>
            </w:r>
            <w:r w:rsidR="00FF149C">
              <w:rPr>
                <w:b/>
                <w:color w:val="000000" w:themeColor="text1"/>
                <w:szCs w:val="24"/>
              </w:rPr>
              <w:t xml:space="preserve"> </w:t>
            </w:r>
            <w:r w:rsidRPr="00FF149C">
              <w:rPr>
                <w:b/>
                <w:color w:val="000000" w:themeColor="text1"/>
                <w:szCs w:val="24"/>
              </w:rPr>
              <w:t>Kardiyak debi azalması</w:t>
            </w:r>
          </w:p>
          <w:p w:rsidR="000E67C3" w:rsidRPr="000E67C3" w:rsidRDefault="000E67C3" w:rsidP="009C6BB2">
            <w:pPr>
              <w:autoSpaceDE w:val="0"/>
              <w:autoSpaceDN w:val="0"/>
              <w:adjustRightInd w:val="0"/>
              <w:rPr>
                <w:color w:val="000000" w:themeColor="text1"/>
                <w:szCs w:val="24"/>
              </w:rPr>
            </w:pPr>
            <w:r w:rsidRPr="000E67C3">
              <w:rPr>
                <w:rFonts w:ascii="Cambria Math" w:hAnsi="Cambria Math" w:cs="Cambria Math"/>
                <w:color w:val="000000" w:themeColor="text1"/>
                <w:szCs w:val="24"/>
              </w:rPr>
              <w:t>‐</w:t>
            </w:r>
            <w:r w:rsidRPr="000E67C3">
              <w:rPr>
                <w:color w:val="000000" w:themeColor="text1"/>
                <w:szCs w:val="24"/>
              </w:rPr>
              <w:t xml:space="preserve">Kalp yetmezliği miyokard, kapak ve perikard hastalıkları, aritmi, perikard tamponadı </w:t>
            </w:r>
          </w:p>
          <w:p w:rsidR="000E67C3" w:rsidRPr="000E67C3" w:rsidRDefault="000E67C3" w:rsidP="009C6BB2">
            <w:pPr>
              <w:autoSpaceDE w:val="0"/>
              <w:autoSpaceDN w:val="0"/>
              <w:adjustRightInd w:val="0"/>
              <w:rPr>
                <w:color w:val="000000" w:themeColor="text1"/>
                <w:szCs w:val="24"/>
              </w:rPr>
            </w:pPr>
            <w:r w:rsidRPr="000E67C3">
              <w:rPr>
                <w:rFonts w:ascii="Cambria Math" w:hAnsi="Cambria Math" w:cs="Cambria Math"/>
                <w:color w:val="000000" w:themeColor="text1"/>
                <w:szCs w:val="24"/>
              </w:rPr>
              <w:t>‐</w:t>
            </w:r>
            <w:r w:rsidRPr="000E67C3">
              <w:rPr>
                <w:color w:val="000000" w:themeColor="text1"/>
                <w:szCs w:val="24"/>
              </w:rPr>
              <w:t>Pulmoner hipertansiyon, pulmoner emboli, pozitif basınçlı mekanik ventilasyon</w:t>
            </w:r>
          </w:p>
        </w:tc>
      </w:tr>
    </w:tbl>
    <w:p w:rsidR="000E67C3" w:rsidRDefault="000E67C3"/>
    <w:p w:rsidR="000E67C3" w:rsidRDefault="000E67C3"/>
    <w:tbl>
      <w:tblPr>
        <w:tblStyle w:val="TabloKlavuzu"/>
        <w:tblW w:w="4884" w:type="pct"/>
        <w:tblInd w:w="108" w:type="dxa"/>
        <w:tblBorders>
          <w:insideH w:val="none" w:sz="0" w:space="0" w:color="auto"/>
          <w:insideV w:val="none" w:sz="0" w:space="0" w:color="auto"/>
        </w:tblBorders>
        <w:tblLook w:val="04A0"/>
      </w:tblPr>
      <w:tblGrid>
        <w:gridCol w:w="8794"/>
      </w:tblGrid>
      <w:tr w:rsidR="000E67C3" w:rsidRPr="000E67C3" w:rsidTr="00FF149C">
        <w:tc>
          <w:tcPr>
            <w:tcW w:w="5000" w:type="pct"/>
          </w:tcPr>
          <w:p w:rsidR="000E67C3" w:rsidRPr="00FF149C" w:rsidRDefault="000E67C3" w:rsidP="009C6BB2">
            <w:pPr>
              <w:autoSpaceDE w:val="0"/>
              <w:autoSpaceDN w:val="0"/>
              <w:adjustRightInd w:val="0"/>
              <w:rPr>
                <w:b/>
                <w:color w:val="000000" w:themeColor="text1"/>
                <w:szCs w:val="24"/>
              </w:rPr>
            </w:pPr>
            <w:r w:rsidRPr="00FF149C">
              <w:rPr>
                <w:b/>
                <w:color w:val="000000" w:themeColor="text1"/>
                <w:szCs w:val="24"/>
              </w:rPr>
              <w:lastRenderedPageBreak/>
              <w:t>3.</w:t>
            </w:r>
            <w:r w:rsidR="00FF149C">
              <w:rPr>
                <w:b/>
                <w:color w:val="000000" w:themeColor="text1"/>
                <w:szCs w:val="24"/>
              </w:rPr>
              <w:t xml:space="preserve"> </w:t>
            </w:r>
            <w:r w:rsidRPr="00FF149C">
              <w:rPr>
                <w:b/>
                <w:color w:val="000000" w:themeColor="text1"/>
                <w:szCs w:val="24"/>
              </w:rPr>
              <w:t>Sistemik vazodilatasyon</w:t>
            </w:r>
          </w:p>
          <w:p w:rsidR="000E67C3" w:rsidRPr="000E67C3" w:rsidRDefault="000E67C3" w:rsidP="009C6BB2">
            <w:pPr>
              <w:autoSpaceDE w:val="0"/>
              <w:autoSpaceDN w:val="0"/>
              <w:adjustRightInd w:val="0"/>
              <w:rPr>
                <w:color w:val="000000" w:themeColor="text1"/>
                <w:szCs w:val="24"/>
              </w:rPr>
            </w:pPr>
            <w:r w:rsidRPr="000E67C3">
              <w:rPr>
                <w:rFonts w:ascii="Cambria Math" w:hAnsi="Cambria Math" w:cs="Cambria Math"/>
                <w:color w:val="000000" w:themeColor="text1"/>
                <w:szCs w:val="24"/>
              </w:rPr>
              <w:t>‐</w:t>
            </w:r>
            <w:r w:rsidRPr="000E67C3">
              <w:rPr>
                <w:color w:val="000000" w:themeColor="text1"/>
                <w:szCs w:val="24"/>
              </w:rPr>
              <w:t>Sepsis</w:t>
            </w:r>
          </w:p>
          <w:p w:rsidR="000E67C3" w:rsidRPr="000E67C3" w:rsidRDefault="000E67C3" w:rsidP="009C6BB2">
            <w:pPr>
              <w:autoSpaceDE w:val="0"/>
              <w:autoSpaceDN w:val="0"/>
              <w:adjustRightInd w:val="0"/>
              <w:rPr>
                <w:color w:val="000000" w:themeColor="text1"/>
                <w:szCs w:val="24"/>
              </w:rPr>
            </w:pPr>
            <w:r w:rsidRPr="000E67C3">
              <w:rPr>
                <w:rFonts w:ascii="Cambria Math" w:hAnsi="Cambria Math" w:cs="Cambria Math"/>
                <w:color w:val="000000" w:themeColor="text1"/>
                <w:szCs w:val="24"/>
              </w:rPr>
              <w:t>‐</w:t>
            </w:r>
            <w:r w:rsidRPr="000E67C3">
              <w:rPr>
                <w:color w:val="000000" w:themeColor="text1"/>
                <w:szCs w:val="24"/>
              </w:rPr>
              <w:t>İlaçlar (antihipertansifler, anestezikler)</w:t>
            </w:r>
          </w:p>
          <w:p w:rsidR="000E67C3" w:rsidRPr="000E67C3" w:rsidRDefault="000E67C3" w:rsidP="009C6BB2">
            <w:pPr>
              <w:autoSpaceDE w:val="0"/>
              <w:autoSpaceDN w:val="0"/>
              <w:adjustRightInd w:val="0"/>
              <w:rPr>
                <w:color w:val="000000" w:themeColor="text1"/>
                <w:szCs w:val="24"/>
              </w:rPr>
            </w:pPr>
            <w:r w:rsidRPr="000E67C3">
              <w:rPr>
                <w:rFonts w:ascii="Cambria Math" w:hAnsi="Cambria Math" w:cs="Cambria Math"/>
                <w:color w:val="000000" w:themeColor="text1"/>
                <w:szCs w:val="24"/>
              </w:rPr>
              <w:t>‐</w:t>
            </w:r>
            <w:r w:rsidRPr="000E67C3">
              <w:rPr>
                <w:color w:val="000000" w:themeColor="text1"/>
                <w:szCs w:val="24"/>
              </w:rPr>
              <w:t>Anaflaksi</w:t>
            </w:r>
          </w:p>
        </w:tc>
      </w:tr>
      <w:tr w:rsidR="000E67C3" w:rsidRPr="000E67C3" w:rsidTr="00FF149C">
        <w:tc>
          <w:tcPr>
            <w:tcW w:w="5000" w:type="pct"/>
          </w:tcPr>
          <w:p w:rsidR="000E67C3" w:rsidRPr="00FF149C" w:rsidRDefault="000E67C3" w:rsidP="009C6BB2">
            <w:pPr>
              <w:autoSpaceDE w:val="0"/>
              <w:autoSpaceDN w:val="0"/>
              <w:adjustRightInd w:val="0"/>
              <w:rPr>
                <w:b/>
                <w:color w:val="000000" w:themeColor="text1"/>
                <w:szCs w:val="24"/>
              </w:rPr>
            </w:pPr>
            <w:r w:rsidRPr="00FF149C">
              <w:rPr>
                <w:b/>
                <w:color w:val="000000" w:themeColor="text1"/>
                <w:szCs w:val="24"/>
              </w:rPr>
              <w:t>4.</w:t>
            </w:r>
            <w:r w:rsidR="00FF149C">
              <w:rPr>
                <w:b/>
                <w:color w:val="000000" w:themeColor="text1"/>
                <w:szCs w:val="24"/>
              </w:rPr>
              <w:t xml:space="preserve"> </w:t>
            </w:r>
            <w:r w:rsidRPr="00FF149C">
              <w:rPr>
                <w:b/>
                <w:color w:val="000000" w:themeColor="text1"/>
                <w:szCs w:val="24"/>
              </w:rPr>
              <w:t>Renal vazokonstrüksiyon</w:t>
            </w:r>
          </w:p>
          <w:p w:rsidR="000E67C3" w:rsidRPr="000E67C3" w:rsidRDefault="000E67C3" w:rsidP="009C6BB2">
            <w:pPr>
              <w:autoSpaceDE w:val="0"/>
              <w:autoSpaceDN w:val="0"/>
              <w:adjustRightInd w:val="0"/>
              <w:rPr>
                <w:color w:val="000000" w:themeColor="text1"/>
                <w:szCs w:val="24"/>
              </w:rPr>
            </w:pPr>
            <w:r w:rsidRPr="000E67C3">
              <w:rPr>
                <w:rFonts w:ascii="Cambria Math" w:hAnsi="Cambria Math" w:cs="Cambria Math"/>
                <w:color w:val="000000" w:themeColor="text1"/>
                <w:szCs w:val="24"/>
              </w:rPr>
              <w:t>‐</w:t>
            </w:r>
            <w:r w:rsidRPr="000E67C3">
              <w:rPr>
                <w:color w:val="000000" w:themeColor="text1"/>
                <w:szCs w:val="24"/>
              </w:rPr>
              <w:t>Hepatorenal sendrom</w:t>
            </w:r>
          </w:p>
          <w:p w:rsidR="000E67C3" w:rsidRPr="000E67C3" w:rsidRDefault="000E67C3" w:rsidP="009C6BB2">
            <w:pPr>
              <w:autoSpaceDE w:val="0"/>
              <w:autoSpaceDN w:val="0"/>
              <w:adjustRightInd w:val="0"/>
              <w:rPr>
                <w:color w:val="000000" w:themeColor="text1"/>
                <w:szCs w:val="24"/>
              </w:rPr>
            </w:pPr>
            <w:r w:rsidRPr="000E67C3">
              <w:rPr>
                <w:rFonts w:ascii="Cambria Math" w:hAnsi="Cambria Math" w:cs="Cambria Math"/>
                <w:color w:val="000000" w:themeColor="text1"/>
                <w:szCs w:val="24"/>
              </w:rPr>
              <w:t>‐</w:t>
            </w:r>
            <w:r w:rsidRPr="000E67C3">
              <w:rPr>
                <w:color w:val="000000" w:themeColor="text1"/>
                <w:szCs w:val="24"/>
              </w:rPr>
              <w:t>Sepsis</w:t>
            </w:r>
          </w:p>
          <w:p w:rsidR="000E67C3" w:rsidRPr="000E67C3" w:rsidRDefault="000E67C3" w:rsidP="009C6BB2">
            <w:pPr>
              <w:autoSpaceDE w:val="0"/>
              <w:autoSpaceDN w:val="0"/>
              <w:adjustRightInd w:val="0"/>
              <w:rPr>
                <w:color w:val="000000" w:themeColor="text1"/>
                <w:szCs w:val="24"/>
              </w:rPr>
            </w:pPr>
            <w:r w:rsidRPr="000E67C3">
              <w:rPr>
                <w:rFonts w:ascii="Cambria Math" w:hAnsi="Cambria Math" w:cs="Cambria Math"/>
                <w:color w:val="000000" w:themeColor="text1"/>
                <w:szCs w:val="24"/>
              </w:rPr>
              <w:t>‐</w:t>
            </w:r>
            <w:r w:rsidRPr="000E67C3">
              <w:rPr>
                <w:color w:val="000000" w:themeColor="text1"/>
                <w:szCs w:val="24"/>
              </w:rPr>
              <w:t>Hiperglisemi</w:t>
            </w:r>
          </w:p>
          <w:p w:rsidR="000E67C3" w:rsidRPr="000E67C3" w:rsidRDefault="000E67C3" w:rsidP="009C6BB2">
            <w:pPr>
              <w:autoSpaceDE w:val="0"/>
              <w:autoSpaceDN w:val="0"/>
              <w:adjustRightInd w:val="0"/>
              <w:rPr>
                <w:color w:val="000000" w:themeColor="text1"/>
                <w:szCs w:val="24"/>
              </w:rPr>
            </w:pPr>
            <w:r w:rsidRPr="000E67C3">
              <w:rPr>
                <w:rFonts w:ascii="Cambria Math" w:hAnsi="Cambria Math" w:cs="Cambria Math"/>
                <w:color w:val="000000" w:themeColor="text1"/>
                <w:szCs w:val="24"/>
              </w:rPr>
              <w:t>‐</w:t>
            </w:r>
            <w:r w:rsidRPr="000E67C3">
              <w:rPr>
                <w:color w:val="000000" w:themeColor="text1"/>
                <w:szCs w:val="24"/>
              </w:rPr>
              <w:t>Adrenalin, Noradrenalin, ergotamin, amfoterisin B, takrolimus, siklosporin, radyokontrast</w:t>
            </w:r>
          </w:p>
        </w:tc>
      </w:tr>
      <w:tr w:rsidR="000E67C3" w:rsidRPr="000E67C3" w:rsidTr="00FF149C">
        <w:tc>
          <w:tcPr>
            <w:tcW w:w="5000" w:type="pct"/>
          </w:tcPr>
          <w:p w:rsidR="000E67C3" w:rsidRPr="00FF149C" w:rsidRDefault="000E67C3" w:rsidP="009C6BB2">
            <w:pPr>
              <w:autoSpaceDE w:val="0"/>
              <w:autoSpaceDN w:val="0"/>
              <w:adjustRightInd w:val="0"/>
              <w:rPr>
                <w:b/>
                <w:color w:val="000000" w:themeColor="text1"/>
                <w:szCs w:val="24"/>
              </w:rPr>
            </w:pPr>
            <w:r w:rsidRPr="00FF149C">
              <w:rPr>
                <w:b/>
                <w:color w:val="000000" w:themeColor="text1"/>
                <w:szCs w:val="24"/>
              </w:rPr>
              <w:t>5.</w:t>
            </w:r>
            <w:r w:rsidR="00FF149C" w:rsidRPr="00FF149C">
              <w:rPr>
                <w:b/>
                <w:color w:val="000000" w:themeColor="text1"/>
                <w:szCs w:val="24"/>
              </w:rPr>
              <w:t xml:space="preserve"> </w:t>
            </w:r>
            <w:r w:rsidRPr="00FF149C">
              <w:rPr>
                <w:b/>
                <w:color w:val="000000" w:themeColor="text1"/>
                <w:szCs w:val="24"/>
              </w:rPr>
              <w:t>Renal Otoregülasyonu bozan ilaçlar</w:t>
            </w:r>
          </w:p>
          <w:p w:rsidR="000E67C3" w:rsidRPr="000E67C3" w:rsidRDefault="000E67C3" w:rsidP="009C6BB2">
            <w:pPr>
              <w:autoSpaceDE w:val="0"/>
              <w:autoSpaceDN w:val="0"/>
              <w:adjustRightInd w:val="0"/>
              <w:rPr>
                <w:color w:val="000000" w:themeColor="text1"/>
                <w:szCs w:val="24"/>
              </w:rPr>
            </w:pPr>
            <w:r w:rsidRPr="000E67C3">
              <w:rPr>
                <w:rFonts w:ascii="Cambria Math" w:hAnsi="Cambria Math" w:cs="Cambria Math"/>
                <w:color w:val="000000" w:themeColor="text1"/>
                <w:szCs w:val="24"/>
              </w:rPr>
              <w:t>‐</w:t>
            </w:r>
            <w:r w:rsidRPr="000E67C3">
              <w:rPr>
                <w:color w:val="000000" w:themeColor="text1"/>
                <w:szCs w:val="24"/>
              </w:rPr>
              <w:t xml:space="preserve">Ağır renal hipoperfüzyon varlığında ACEi </w:t>
            </w:r>
            <w:r w:rsidR="00500346">
              <w:rPr>
                <w:color w:val="000000" w:themeColor="text1"/>
                <w:szCs w:val="24"/>
              </w:rPr>
              <w:t xml:space="preserve">(Anjiyotensin dönüştürücü enzim inhibitörü) </w:t>
            </w:r>
            <w:r w:rsidRPr="000E67C3">
              <w:rPr>
                <w:color w:val="000000" w:themeColor="text1"/>
                <w:szCs w:val="24"/>
              </w:rPr>
              <w:t>ve NSAİİ</w:t>
            </w:r>
            <w:r w:rsidR="00500346">
              <w:rPr>
                <w:color w:val="000000" w:themeColor="text1"/>
                <w:szCs w:val="24"/>
              </w:rPr>
              <w:t xml:space="preserve"> (nonsteroidal antiinflamatuar ilaç)</w:t>
            </w:r>
            <w:r w:rsidRPr="000E67C3">
              <w:rPr>
                <w:color w:val="000000" w:themeColor="text1"/>
                <w:szCs w:val="24"/>
              </w:rPr>
              <w:t xml:space="preserve"> kullanımı</w:t>
            </w:r>
          </w:p>
        </w:tc>
      </w:tr>
      <w:tr w:rsidR="000E67C3" w:rsidRPr="000E67C3" w:rsidTr="00FF149C">
        <w:tc>
          <w:tcPr>
            <w:tcW w:w="5000" w:type="pct"/>
          </w:tcPr>
          <w:p w:rsidR="000E67C3" w:rsidRPr="00FF149C" w:rsidRDefault="000E67C3" w:rsidP="009C6BB2">
            <w:pPr>
              <w:autoSpaceDE w:val="0"/>
              <w:autoSpaceDN w:val="0"/>
              <w:adjustRightInd w:val="0"/>
              <w:rPr>
                <w:b/>
                <w:color w:val="000000" w:themeColor="text1"/>
                <w:szCs w:val="24"/>
              </w:rPr>
            </w:pPr>
            <w:r w:rsidRPr="00FF149C">
              <w:rPr>
                <w:b/>
                <w:color w:val="000000" w:themeColor="text1"/>
                <w:szCs w:val="24"/>
              </w:rPr>
              <w:t>6.</w:t>
            </w:r>
            <w:r w:rsidR="00FF149C">
              <w:rPr>
                <w:b/>
                <w:color w:val="000000" w:themeColor="text1"/>
                <w:szCs w:val="24"/>
              </w:rPr>
              <w:t xml:space="preserve"> </w:t>
            </w:r>
            <w:r w:rsidRPr="00FF149C">
              <w:rPr>
                <w:b/>
                <w:color w:val="000000" w:themeColor="text1"/>
                <w:szCs w:val="24"/>
              </w:rPr>
              <w:t>Abdominal kompartman sendromu</w:t>
            </w:r>
          </w:p>
        </w:tc>
      </w:tr>
      <w:tr w:rsidR="000E67C3" w:rsidRPr="000E67C3" w:rsidTr="00FF149C">
        <w:tc>
          <w:tcPr>
            <w:tcW w:w="5000" w:type="pct"/>
          </w:tcPr>
          <w:p w:rsidR="000E67C3" w:rsidRPr="00FF149C" w:rsidRDefault="000E67C3" w:rsidP="009C6BB2">
            <w:pPr>
              <w:autoSpaceDE w:val="0"/>
              <w:autoSpaceDN w:val="0"/>
              <w:adjustRightInd w:val="0"/>
              <w:rPr>
                <w:b/>
                <w:color w:val="000000" w:themeColor="text1"/>
                <w:szCs w:val="24"/>
              </w:rPr>
            </w:pPr>
            <w:r w:rsidRPr="00FF149C">
              <w:rPr>
                <w:b/>
                <w:color w:val="000000" w:themeColor="text1"/>
                <w:szCs w:val="24"/>
              </w:rPr>
              <w:t>7. Viskozite artışı</w:t>
            </w:r>
          </w:p>
          <w:p w:rsidR="000E67C3" w:rsidRPr="000E67C3" w:rsidRDefault="000E67C3" w:rsidP="009C6BB2">
            <w:pPr>
              <w:autoSpaceDE w:val="0"/>
              <w:autoSpaceDN w:val="0"/>
              <w:adjustRightInd w:val="0"/>
              <w:rPr>
                <w:color w:val="000000" w:themeColor="text1"/>
                <w:szCs w:val="24"/>
              </w:rPr>
            </w:pPr>
            <w:r w:rsidRPr="000E67C3">
              <w:rPr>
                <w:color w:val="000000" w:themeColor="text1"/>
                <w:szCs w:val="24"/>
              </w:rPr>
              <w:t>Multiple myelom, polistemi</w:t>
            </w:r>
          </w:p>
        </w:tc>
      </w:tr>
    </w:tbl>
    <w:p w:rsidR="000E67C3" w:rsidRPr="000E67C3" w:rsidRDefault="000E67C3" w:rsidP="000E67C3">
      <w:pPr>
        <w:autoSpaceDE w:val="0"/>
        <w:autoSpaceDN w:val="0"/>
        <w:adjustRightInd w:val="0"/>
        <w:rPr>
          <w:color w:val="000000" w:themeColor="text1"/>
          <w:szCs w:val="24"/>
        </w:rPr>
      </w:pPr>
    </w:p>
    <w:p w:rsidR="000E67C3" w:rsidRPr="000E67C3" w:rsidRDefault="000E67C3" w:rsidP="000E67C3">
      <w:pPr>
        <w:autoSpaceDE w:val="0"/>
        <w:autoSpaceDN w:val="0"/>
        <w:adjustRightInd w:val="0"/>
        <w:rPr>
          <w:b/>
          <w:color w:val="000000" w:themeColor="text1"/>
          <w:szCs w:val="24"/>
        </w:rPr>
      </w:pPr>
    </w:p>
    <w:p w:rsidR="000E67C3" w:rsidRPr="000E67C3" w:rsidRDefault="000E67C3" w:rsidP="000E67C3">
      <w:pPr>
        <w:pStyle w:val="Balk3"/>
      </w:pPr>
      <w:bookmarkStart w:id="21" w:name="_Toc459712404"/>
      <w:r w:rsidRPr="000E67C3">
        <w:t>2.2.3. Renal  (İntrinsik) Akut Böbrek Hasarı</w:t>
      </w:r>
      <w:bookmarkEnd w:id="21"/>
    </w:p>
    <w:p w:rsidR="000E67C3" w:rsidRPr="000E67C3" w:rsidRDefault="000E67C3" w:rsidP="000E67C3">
      <w:pPr>
        <w:pStyle w:val="Default"/>
        <w:jc w:val="both"/>
        <w:rPr>
          <w:rFonts w:ascii="Times New Roman" w:hAnsi="Times New Roman" w:cs="Times New Roman"/>
          <w:color w:val="000000" w:themeColor="text1"/>
        </w:rPr>
      </w:pPr>
      <w:r w:rsidRPr="000E67C3">
        <w:rPr>
          <w:rFonts w:ascii="Times New Roman" w:hAnsi="Times New Roman" w:cs="Times New Roman"/>
          <w:color w:val="000000" w:themeColor="text1"/>
        </w:rPr>
        <w:tab/>
        <w:t xml:space="preserve">Akut böbrek hasarının yaklaşık % 35-40’ından sorumludur (26). Renal ABH'de renal parankimde (glomerül, renal tübüller, interstisyum ve vasküler yapılar) hasar mevcuttur. İlaçlar ve infeksiyon toplumda en sık görülen sebepler iken; toksik ve iskemik olaylar hastanelerde en sık görülen sebeplerdir. Renal ABH'li olguların % 80-90'ında neden, iskemiye ve/veya nefrotoksik maddelere bağlı olarak gelişen akut tübüler nekroz’dur (ATN). Bunun dışındaki diğer nedenler Tablo 2.2.’de gösterilmiştir (26,27). FENa %1’in üzerinde ve idrar ozmolaritesi izotoniktir (28). </w:t>
      </w:r>
    </w:p>
    <w:p w:rsidR="000E67C3" w:rsidRDefault="000E67C3" w:rsidP="000E67C3">
      <w:pPr>
        <w:pStyle w:val="Default"/>
        <w:jc w:val="both"/>
        <w:rPr>
          <w:rFonts w:ascii="Times New Roman" w:hAnsi="Times New Roman" w:cs="Times New Roman"/>
          <w:color w:val="000000" w:themeColor="text1"/>
        </w:rPr>
      </w:pPr>
    </w:p>
    <w:p w:rsidR="000E67C3" w:rsidRPr="000E67C3" w:rsidRDefault="000E67C3" w:rsidP="000E67C3">
      <w:pPr>
        <w:pStyle w:val="Default"/>
        <w:jc w:val="both"/>
        <w:rPr>
          <w:rFonts w:ascii="Times New Roman" w:hAnsi="Times New Roman" w:cs="Times New Roman"/>
          <w:color w:val="000000" w:themeColor="text1"/>
        </w:rPr>
      </w:pPr>
    </w:p>
    <w:p w:rsidR="000E67C3" w:rsidRPr="000E67C3" w:rsidRDefault="000E67C3" w:rsidP="000E67C3">
      <w:pPr>
        <w:pStyle w:val="ResimYazs"/>
        <w:rPr>
          <w:b w:val="0"/>
          <w:color w:val="000000" w:themeColor="text1"/>
          <w:szCs w:val="24"/>
        </w:rPr>
      </w:pPr>
      <w:bookmarkStart w:id="22" w:name="_Toc459713106"/>
      <w:r>
        <w:t xml:space="preserve">Tablo </w:t>
      </w:r>
      <w:r w:rsidR="001715F4">
        <w:t>2</w:t>
      </w:r>
      <w:r w:rsidR="00382CFB">
        <w:t>.</w:t>
      </w:r>
      <w:r w:rsidR="00C57A06">
        <w:fldChar w:fldCharType="begin"/>
      </w:r>
      <w:r w:rsidR="00353523">
        <w:instrText xml:space="preserve"> SEQ Tablo \* ARABIC \s 1 </w:instrText>
      </w:r>
      <w:r w:rsidR="00C57A06">
        <w:fldChar w:fldCharType="separate"/>
      </w:r>
      <w:r w:rsidR="001C364D">
        <w:rPr>
          <w:noProof/>
        </w:rPr>
        <w:t>2</w:t>
      </w:r>
      <w:r w:rsidR="00C57A06">
        <w:rPr>
          <w:noProof/>
        </w:rPr>
        <w:fldChar w:fldCharType="end"/>
      </w:r>
      <w:r>
        <w:t xml:space="preserve">. </w:t>
      </w:r>
      <w:r w:rsidRPr="000E67C3">
        <w:rPr>
          <w:bCs w:val="0"/>
          <w:color w:val="000000" w:themeColor="text1"/>
          <w:szCs w:val="24"/>
        </w:rPr>
        <w:t>Renal (İntrinsik) ABH Nedenleri</w:t>
      </w:r>
      <w:bookmarkEnd w:id="22"/>
    </w:p>
    <w:tbl>
      <w:tblPr>
        <w:tblStyle w:val="TabloKlavuzu"/>
        <w:tblW w:w="4884" w:type="pct"/>
        <w:tblInd w:w="108" w:type="dxa"/>
        <w:tblBorders>
          <w:insideH w:val="none" w:sz="0" w:space="0" w:color="auto"/>
          <w:insideV w:val="none" w:sz="0" w:space="0" w:color="auto"/>
        </w:tblBorders>
        <w:tblLook w:val="04A0"/>
      </w:tblPr>
      <w:tblGrid>
        <w:gridCol w:w="8794"/>
      </w:tblGrid>
      <w:tr w:rsidR="000E67C3" w:rsidRPr="000E67C3" w:rsidTr="00FF149C">
        <w:tc>
          <w:tcPr>
            <w:tcW w:w="5000" w:type="pct"/>
          </w:tcPr>
          <w:p w:rsidR="000E67C3" w:rsidRPr="00FF149C" w:rsidRDefault="000E67C3" w:rsidP="009C6BB2">
            <w:pPr>
              <w:autoSpaceDE w:val="0"/>
              <w:autoSpaceDN w:val="0"/>
              <w:adjustRightInd w:val="0"/>
              <w:rPr>
                <w:b/>
                <w:color w:val="000000" w:themeColor="text1"/>
                <w:szCs w:val="24"/>
              </w:rPr>
            </w:pPr>
            <w:r w:rsidRPr="00FF149C">
              <w:rPr>
                <w:b/>
                <w:color w:val="000000" w:themeColor="text1"/>
                <w:szCs w:val="24"/>
              </w:rPr>
              <w:t>1.</w:t>
            </w:r>
            <w:r w:rsidR="00FF149C">
              <w:rPr>
                <w:b/>
                <w:color w:val="000000" w:themeColor="text1"/>
                <w:szCs w:val="24"/>
              </w:rPr>
              <w:t xml:space="preserve"> </w:t>
            </w:r>
            <w:r w:rsidRPr="00FF149C">
              <w:rPr>
                <w:b/>
                <w:color w:val="000000" w:themeColor="text1"/>
                <w:szCs w:val="24"/>
              </w:rPr>
              <w:t>Akut tübüler nekroz</w:t>
            </w:r>
          </w:p>
          <w:p w:rsidR="000E67C3" w:rsidRPr="000E67C3" w:rsidRDefault="000E67C3" w:rsidP="009C6BB2">
            <w:pPr>
              <w:autoSpaceDE w:val="0"/>
              <w:autoSpaceDN w:val="0"/>
              <w:adjustRightInd w:val="0"/>
              <w:rPr>
                <w:color w:val="000000" w:themeColor="text1"/>
                <w:szCs w:val="24"/>
              </w:rPr>
            </w:pPr>
            <w:r w:rsidRPr="000E67C3">
              <w:rPr>
                <w:rFonts w:ascii="Cambria Math" w:hAnsi="Cambria Math" w:cs="Cambria Math"/>
                <w:color w:val="000000" w:themeColor="text1"/>
                <w:szCs w:val="24"/>
              </w:rPr>
              <w:t>‐</w:t>
            </w:r>
            <w:r w:rsidRPr="000E67C3">
              <w:rPr>
                <w:color w:val="000000" w:themeColor="text1"/>
                <w:szCs w:val="24"/>
              </w:rPr>
              <w:t>İskemik</w:t>
            </w:r>
          </w:p>
          <w:p w:rsidR="000E67C3" w:rsidRPr="000E67C3" w:rsidRDefault="000E67C3" w:rsidP="009C6BB2">
            <w:pPr>
              <w:autoSpaceDE w:val="0"/>
              <w:autoSpaceDN w:val="0"/>
              <w:adjustRightInd w:val="0"/>
              <w:rPr>
                <w:color w:val="000000" w:themeColor="text1"/>
                <w:szCs w:val="24"/>
              </w:rPr>
            </w:pPr>
            <w:r w:rsidRPr="000E67C3">
              <w:rPr>
                <w:color w:val="000000" w:themeColor="text1"/>
                <w:szCs w:val="24"/>
              </w:rPr>
              <w:t>Hipovolemi, kardiyak debide azalma, NSAİİ, ACEİ</w:t>
            </w:r>
          </w:p>
          <w:p w:rsidR="000E67C3" w:rsidRPr="000E67C3" w:rsidRDefault="000E67C3" w:rsidP="009C6BB2">
            <w:pPr>
              <w:pStyle w:val="Default"/>
              <w:jc w:val="both"/>
              <w:rPr>
                <w:rFonts w:ascii="Times New Roman" w:hAnsi="Times New Roman" w:cs="Times New Roman"/>
                <w:color w:val="000000" w:themeColor="text1"/>
              </w:rPr>
            </w:pPr>
            <w:r w:rsidRPr="000E67C3">
              <w:rPr>
                <w:rFonts w:ascii="Cambria Math" w:hAnsi="Cambria Math" w:cs="Cambria Math"/>
                <w:color w:val="000000" w:themeColor="text1"/>
              </w:rPr>
              <w:t>‐</w:t>
            </w:r>
            <w:r w:rsidRPr="000E67C3">
              <w:rPr>
                <w:rFonts w:ascii="Times New Roman" w:hAnsi="Times New Roman" w:cs="Times New Roman"/>
                <w:color w:val="000000" w:themeColor="text1"/>
              </w:rPr>
              <w:t xml:space="preserve">Toksik </w:t>
            </w:r>
          </w:p>
          <w:p w:rsidR="000E67C3" w:rsidRPr="000E67C3" w:rsidRDefault="000E67C3" w:rsidP="009C6BB2">
            <w:pPr>
              <w:autoSpaceDE w:val="0"/>
              <w:autoSpaceDN w:val="0"/>
              <w:adjustRightInd w:val="0"/>
              <w:rPr>
                <w:color w:val="000000" w:themeColor="text1"/>
                <w:szCs w:val="24"/>
              </w:rPr>
            </w:pPr>
            <w:r w:rsidRPr="000E67C3">
              <w:rPr>
                <w:color w:val="000000" w:themeColor="text1"/>
                <w:szCs w:val="24"/>
              </w:rPr>
              <w:lastRenderedPageBreak/>
              <w:t>Ekzojen: kemoterapi (sisplatin, ifosfamid), radyokontrast, antibiyotik (aminoglikozidler, asiklovir, foskarnet, pentamidin, amfoterisin B), organik çözücüler (etilen glikol, toluen), siklosporin, asetaminofen, yılan zehiri, bakteriyel toksinler</w:t>
            </w:r>
          </w:p>
          <w:p w:rsidR="000E67C3" w:rsidRPr="000E67C3" w:rsidRDefault="000E67C3" w:rsidP="009C6BB2">
            <w:pPr>
              <w:autoSpaceDE w:val="0"/>
              <w:autoSpaceDN w:val="0"/>
              <w:adjustRightInd w:val="0"/>
              <w:rPr>
                <w:color w:val="000000" w:themeColor="text1"/>
                <w:szCs w:val="24"/>
              </w:rPr>
            </w:pPr>
            <w:r w:rsidRPr="000E67C3">
              <w:rPr>
                <w:color w:val="000000" w:themeColor="text1"/>
                <w:szCs w:val="24"/>
              </w:rPr>
              <w:t>Endojen: miyoglobin, hemoglobin, ürat, oksalat, myelom hafif zincirleri</w:t>
            </w:r>
          </w:p>
        </w:tc>
      </w:tr>
      <w:tr w:rsidR="000E67C3" w:rsidRPr="000E67C3" w:rsidTr="00FF149C">
        <w:tc>
          <w:tcPr>
            <w:tcW w:w="5000" w:type="pct"/>
          </w:tcPr>
          <w:p w:rsidR="000E67C3" w:rsidRPr="00FF149C" w:rsidRDefault="000E67C3" w:rsidP="009C6BB2">
            <w:pPr>
              <w:autoSpaceDE w:val="0"/>
              <w:autoSpaceDN w:val="0"/>
              <w:adjustRightInd w:val="0"/>
              <w:rPr>
                <w:b/>
                <w:color w:val="000000" w:themeColor="text1"/>
                <w:szCs w:val="24"/>
              </w:rPr>
            </w:pPr>
            <w:r w:rsidRPr="00FF149C">
              <w:rPr>
                <w:b/>
                <w:color w:val="000000" w:themeColor="text1"/>
                <w:szCs w:val="24"/>
              </w:rPr>
              <w:lastRenderedPageBreak/>
              <w:t>2.</w:t>
            </w:r>
            <w:r w:rsidR="00FF149C">
              <w:rPr>
                <w:b/>
                <w:color w:val="000000" w:themeColor="text1"/>
                <w:szCs w:val="24"/>
              </w:rPr>
              <w:t xml:space="preserve"> </w:t>
            </w:r>
            <w:r w:rsidRPr="00FF149C">
              <w:rPr>
                <w:b/>
                <w:color w:val="000000" w:themeColor="text1"/>
                <w:szCs w:val="24"/>
              </w:rPr>
              <w:t>Renovasküler hastalıklar</w:t>
            </w:r>
          </w:p>
          <w:p w:rsidR="000E67C3" w:rsidRPr="000E67C3" w:rsidRDefault="000E67C3" w:rsidP="009C6BB2">
            <w:pPr>
              <w:autoSpaceDE w:val="0"/>
              <w:autoSpaceDN w:val="0"/>
              <w:adjustRightInd w:val="0"/>
              <w:rPr>
                <w:color w:val="000000" w:themeColor="text1"/>
                <w:szCs w:val="24"/>
              </w:rPr>
            </w:pPr>
            <w:r w:rsidRPr="000E67C3">
              <w:rPr>
                <w:rFonts w:ascii="Cambria Math" w:hAnsi="Cambria Math" w:cs="Cambria Math"/>
                <w:color w:val="000000" w:themeColor="text1"/>
                <w:szCs w:val="24"/>
              </w:rPr>
              <w:t>‐</w:t>
            </w:r>
            <w:r w:rsidRPr="000E67C3">
              <w:rPr>
                <w:color w:val="000000" w:themeColor="text1"/>
                <w:szCs w:val="24"/>
              </w:rPr>
              <w:t>Renal arter (aterosklerotik plak, tromboz, emboli, anevrizma, disseksiyon, vaskülit)</w:t>
            </w:r>
          </w:p>
          <w:p w:rsidR="000E67C3" w:rsidRPr="000E67C3" w:rsidRDefault="000E67C3" w:rsidP="009C6BB2">
            <w:pPr>
              <w:autoSpaceDE w:val="0"/>
              <w:autoSpaceDN w:val="0"/>
              <w:adjustRightInd w:val="0"/>
              <w:rPr>
                <w:color w:val="000000" w:themeColor="text1"/>
                <w:szCs w:val="24"/>
              </w:rPr>
            </w:pPr>
            <w:r w:rsidRPr="000E67C3">
              <w:rPr>
                <w:rFonts w:ascii="Cambria Math" w:hAnsi="Cambria Math" w:cs="Cambria Math"/>
                <w:color w:val="000000" w:themeColor="text1"/>
                <w:szCs w:val="24"/>
              </w:rPr>
              <w:t>‐</w:t>
            </w:r>
            <w:r w:rsidRPr="000E67C3">
              <w:rPr>
                <w:color w:val="000000" w:themeColor="text1"/>
                <w:szCs w:val="24"/>
              </w:rPr>
              <w:t>Renal ven (tromboz, dıştan bası)</w:t>
            </w:r>
          </w:p>
        </w:tc>
      </w:tr>
      <w:tr w:rsidR="000E67C3" w:rsidRPr="000E67C3" w:rsidTr="00FF149C">
        <w:tc>
          <w:tcPr>
            <w:tcW w:w="5000" w:type="pct"/>
          </w:tcPr>
          <w:p w:rsidR="000E67C3" w:rsidRPr="00FF149C" w:rsidRDefault="000E67C3" w:rsidP="009C6BB2">
            <w:pPr>
              <w:autoSpaceDE w:val="0"/>
              <w:autoSpaceDN w:val="0"/>
              <w:adjustRightInd w:val="0"/>
              <w:rPr>
                <w:b/>
                <w:color w:val="000000" w:themeColor="text1"/>
                <w:szCs w:val="24"/>
              </w:rPr>
            </w:pPr>
            <w:r w:rsidRPr="00FF149C">
              <w:rPr>
                <w:b/>
                <w:color w:val="000000" w:themeColor="text1"/>
                <w:szCs w:val="24"/>
              </w:rPr>
              <w:t>3.</w:t>
            </w:r>
            <w:r w:rsidR="00FF149C">
              <w:rPr>
                <w:b/>
                <w:color w:val="000000" w:themeColor="text1"/>
                <w:szCs w:val="24"/>
              </w:rPr>
              <w:t xml:space="preserve"> </w:t>
            </w:r>
            <w:r w:rsidRPr="00FF149C">
              <w:rPr>
                <w:b/>
                <w:color w:val="000000" w:themeColor="text1"/>
                <w:szCs w:val="24"/>
              </w:rPr>
              <w:t>Glomerülleri ve renal mikrovasküler yapıyı tutan hastalıklar</w:t>
            </w:r>
          </w:p>
          <w:p w:rsidR="000E67C3" w:rsidRPr="000E67C3" w:rsidRDefault="000E67C3" w:rsidP="009C6BB2">
            <w:pPr>
              <w:pStyle w:val="Default"/>
              <w:jc w:val="both"/>
              <w:rPr>
                <w:rFonts w:ascii="Times New Roman" w:hAnsi="Times New Roman" w:cs="Times New Roman"/>
                <w:color w:val="000000" w:themeColor="text1"/>
              </w:rPr>
            </w:pPr>
            <w:r w:rsidRPr="000E67C3">
              <w:rPr>
                <w:rFonts w:ascii="Cambria Math" w:hAnsi="Cambria Math" w:cs="Cambria Math"/>
                <w:color w:val="000000" w:themeColor="text1"/>
              </w:rPr>
              <w:t>‐</w:t>
            </w:r>
            <w:r w:rsidRPr="000E67C3">
              <w:rPr>
                <w:rFonts w:ascii="Times New Roman" w:hAnsi="Times New Roman" w:cs="Times New Roman"/>
                <w:color w:val="000000" w:themeColor="text1"/>
              </w:rPr>
              <w:t>İnflamatuvar (akut poststreptokokkal glomerülonefrit, membranoproliferatif glomerülonefritler, hızlı ilerleyen glomerulonefrit, vaskülit (sistemik lupus eritematozus, poliarteritis nodosa, wegener granulomatozu), goodpasture, allogreft rejeksiyon,</w:t>
            </w:r>
            <w:r>
              <w:rPr>
                <w:rFonts w:ascii="Times New Roman" w:hAnsi="Times New Roman" w:cs="Times New Roman"/>
                <w:color w:val="000000" w:themeColor="text1"/>
              </w:rPr>
              <w:t xml:space="preserve"> </w:t>
            </w:r>
            <w:r w:rsidRPr="000E67C3">
              <w:rPr>
                <w:rFonts w:ascii="Times New Roman" w:hAnsi="Times New Roman" w:cs="Times New Roman"/>
                <w:color w:val="000000" w:themeColor="text1"/>
              </w:rPr>
              <w:t>radyasyon)</w:t>
            </w:r>
          </w:p>
          <w:p w:rsidR="000E67C3" w:rsidRPr="000E67C3" w:rsidRDefault="000E67C3" w:rsidP="009C6BB2">
            <w:pPr>
              <w:autoSpaceDE w:val="0"/>
              <w:autoSpaceDN w:val="0"/>
              <w:adjustRightInd w:val="0"/>
              <w:rPr>
                <w:color w:val="000000" w:themeColor="text1"/>
                <w:szCs w:val="24"/>
              </w:rPr>
            </w:pPr>
            <w:r w:rsidRPr="000E67C3">
              <w:rPr>
                <w:rFonts w:ascii="Cambria Math" w:hAnsi="Cambria Math" w:cs="Cambria Math"/>
                <w:color w:val="000000" w:themeColor="text1"/>
                <w:szCs w:val="24"/>
              </w:rPr>
              <w:t>‐</w:t>
            </w:r>
            <w:r w:rsidRPr="000E67C3">
              <w:rPr>
                <w:color w:val="000000" w:themeColor="text1"/>
                <w:szCs w:val="24"/>
              </w:rPr>
              <w:t>Vazospastik (ilaçlar, malign HT</w:t>
            </w:r>
            <w:r w:rsidR="00500346">
              <w:rPr>
                <w:color w:val="000000" w:themeColor="text1"/>
                <w:szCs w:val="24"/>
              </w:rPr>
              <w:t xml:space="preserve"> (hiper tansiyon)</w:t>
            </w:r>
            <w:r w:rsidRPr="000E67C3">
              <w:rPr>
                <w:color w:val="000000" w:themeColor="text1"/>
                <w:szCs w:val="24"/>
              </w:rPr>
              <w:t>, gebelik toksemisi, skleroderma, radyokontrastlar, hiperkalsemi)</w:t>
            </w:r>
          </w:p>
          <w:p w:rsidR="000E67C3" w:rsidRPr="000E67C3" w:rsidRDefault="000E67C3" w:rsidP="009C6BB2">
            <w:pPr>
              <w:autoSpaceDE w:val="0"/>
              <w:autoSpaceDN w:val="0"/>
              <w:adjustRightInd w:val="0"/>
              <w:rPr>
                <w:color w:val="000000" w:themeColor="text1"/>
                <w:szCs w:val="24"/>
              </w:rPr>
            </w:pPr>
            <w:r w:rsidRPr="000E67C3">
              <w:rPr>
                <w:rFonts w:ascii="Cambria Math" w:hAnsi="Cambria Math" w:cs="Cambria Math"/>
                <w:color w:val="000000" w:themeColor="text1"/>
                <w:szCs w:val="24"/>
              </w:rPr>
              <w:t>‐</w:t>
            </w:r>
            <w:r w:rsidRPr="000E67C3">
              <w:rPr>
                <w:color w:val="000000" w:themeColor="text1"/>
                <w:szCs w:val="24"/>
              </w:rPr>
              <w:t>Hematolojik (HUS/TTP, DIC)</w:t>
            </w:r>
          </w:p>
          <w:p w:rsidR="000E67C3" w:rsidRPr="00FF149C" w:rsidRDefault="000E67C3" w:rsidP="009C6BB2">
            <w:pPr>
              <w:autoSpaceDE w:val="0"/>
              <w:autoSpaceDN w:val="0"/>
              <w:adjustRightInd w:val="0"/>
              <w:rPr>
                <w:b/>
                <w:color w:val="000000" w:themeColor="text1"/>
                <w:szCs w:val="24"/>
              </w:rPr>
            </w:pPr>
            <w:r w:rsidRPr="00FF149C">
              <w:rPr>
                <w:b/>
                <w:color w:val="000000" w:themeColor="text1"/>
                <w:szCs w:val="24"/>
              </w:rPr>
              <w:t>4.</w:t>
            </w:r>
            <w:r w:rsidR="00FF149C">
              <w:rPr>
                <w:b/>
                <w:color w:val="000000" w:themeColor="text1"/>
                <w:szCs w:val="24"/>
              </w:rPr>
              <w:t xml:space="preserve"> </w:t>
            </w:r>
            <w:r w:rsidRPr="00FF149C">
              <w:rPr>
                <w:b/>
                <w:color w:val="000000" w:themeColor="text1"/>
                <w:szCs w:val="24"/>
              </w:rPr>
              <w:t>İntertisyel hastalıklar</w:t>
            </w:r>
          </w:p>
          <w:p w:rsidR="000E67C3" w:rsidRPr="000E67C3" w:rsidRDefault="000E67C3" w:rsidP="009C6BB2">
            <w:pPr>
              <w:autoSpaceDE w:val="0"/>
              <w:autoSpaceDN w:val="0"/>
              <w:adjustRightInd w:val="0"/>
              <w:rPr>
                <w:color w:val="000000" w:themeColor="text1"/>
                <w:szCs w:val="24"/>
              </w:rPr>
            </w:pPr>
            <w:r w:rsidRPr="000E67C3">
              <w:rPr>
                <w:rFonts w:ascii="Cambria Math" w:hAnsi="Cambria Math" w:cs="Cambria Math"/>
                <w:color w:val="000000" w:themeColor="text1"/>
                <w:szCs w:val="24"/>
              </w:rPr>
              <w:t>‐</w:t>
            </w:r>
            <w:r w:rsidRPr="000E67C3">
              <w:rPr>
                <w:color w:val="000000" w:themeColor="text1"/>
                <w:szCs w:val="24"/>
              </w:rPr>
              <w:t>Allerjik intertisiyel nefrit (NSAİİ, antibiyotikler, ACEi)</w:t>
            </w:r>
          </w:p>
          <w:p w:rsidR="000E67C3" w:rsidRPr="000E67C3" w:rsidRDefault="000E67C3" w:rsidP="009C6BB2">
            <w:pPr>
              <w:autoSpaceDE w:val="0"/>
              <w:autoSpaceDN w:val="0"/>
              <w:adjustRightInd w:val="0"/>
              <w:rPr>
                <w:color w:val="000000" w:themeColor="text1"/>
                <w:szCs w:val="24"/>
              </w:rPr>
            </w:pPr>
            <w:r w:rsidRPr="000E67C3">
              <w:rPr>
                <w:rFonts w:ascii="Cambria Math" w:hAnsi="Cambria Math" w:cs="Cambria Math"/>
                <w:color w:val="000000" w:themeColor="text1"/>
                <w:szCs w:val="24"/>
              </w:rPr>
              <w:t>‐</w:t>
            </w:r>
            <w:r w:rsidRPr="000E67C3">
              <w:rPr>
                <w:color w:val="000000" w:themeColor="text1"/>
                <w:szCs w:val="24"/>
              </w:rPr>
              <w:t>İnfeksiyöz (viral, fungal, bakteriyel)</w:t>
            </w:r>
          </w:p>
          <w:p w:rsidR="000E67C3" w:rsidRPr="000E67C3" w:rsidRDefault="000E67C3" w:rsidP="009C6BB2">
            <w:pPr>
              <w:autoSpaceDE w:val="0"/>
              <w:autoSpaceDN w:val="0"/>
              <w:adjustRightInd w:val="0"/>
              <w:rPr>
                <w:color w:val="000000" w:themeColor="text1"/>
                <w:szCs w:val="24"/>
              </w:rPr>
            </w:pPr>
            <w:r w:rsidRPr="000E67C3">
              <w:rPr>
                <w:rFonts w:ascii="Cambria Math" w:hAnsi="Cambria Math" w:cs="Cambria Math"/>
                <w:color w:val="000000" w:themeColor="text1"/>
                <w:szCs w:val="24"/>
              </w:rPr>
              <w:t>‐</w:t>
            </w:r>
            <w:r w:rsidRPr="000E67C3">
              <w:rPr>
                <w:color w:val="000000" w:themeColor="text1"/>
                <w:szCs w:val="24"/>
              </w:rPr>
              <w:t>Akut selüler allogreft rejeksiyonu</w:t>
            </w:r>
          </w:p>
          <w:p w:rsidR="000E67C3" w:rsidRPr="000E67C3" w:rsidRDefault="000E67C3" w:rsidP="009C6BB2">
            <w:pPr>
              <w:pStyle w:val="Default"/>
              <w:jc w:val="both"/>
              <w:rPr>
                <w:rFonts w:ascii="Times New Roman" w:hAnsi="Times New Roman" w:cs="Times New Roman"/>
                <w:color w:val="000000" w:themeColor="text1"/>
              </w:rPr>
            </w:pPr>
            <w:r w:rsidRPr="000E67C3">
              <w:rPr>
                <w:rFonts w:ascii="Cambria Math" w:hAnsi="Cambria Math" w:cs="Cambria Math"/>
                <w:color w:val="000000" w:themeColor="text1"/>
              </w:rPr>
              <w:t>‐</w:t>
            </w:r>
            <w:r w:rsidRPr="000E67C3">
              <w:rPr>
                <w:rFonts w:ascii="Times New Roman" w:hAnsi="Times New Roman" w:cs="Times New Roman"/>
                <w:color w:val="000000" w:themeColor="text1"/>
              </w:rPr>
              <w:t>İnfiltrasyon (lösemi, lenfoma, sarkoidoz)</w:t>
            </w:r>
          </w:p>
        </w:tc>
      </w:tr>
      <w:tr w:rsidR="000E67C3" w:rsidRPr="000E67C3" w:rsidTr="00FF149C">
        <w:tc>
          <w:tcPr>
            <w:tcW w:w="5000" w:type="pct"/>
          </w:tcPr>
          <w:p w:rsidR="000E67C3" w:rsidRPr="00FF149C" w:rsidRDefault="000E67C3" w:rsidP="009C6BB2">
            <w:pPr>
              <w:pStyle w:val="Default"/>
              <w:jc w:val="both"/>
              <w:rPr>
                <w:rFonts w:ascii="Times New Roman" w:hAnsi="Times New Roman" w:cs="Times New Roman"/>
                <w:b/>
                <w:color w:val="000000" w:themeColor="text1"/>
              </w:rPr>
            </w:pPr>
            <w:r w:rsidRPr="00FF149C">
              <w:rPr>
                <w:rFonts w:ascii="Times New Roman" w:hAnsi="Times New Roman" w:cs="Times New Roman"/>
                <w:b/>
                <w:color w:val="000000" w:themeColor="text1"/>
              </w:rPr>
              <w:t>5.</w:t>
            </w:r>
            <w:r w:rsidR="00FF149C">
              <w:rPr>
                <w:rFonts w:ascii="Times New Roman" w:hAnsi="Times New Roman" w:cs="Times New Roman"/>
                <w:b/>
                <w:color w:val="000000" w:themeColor="text1"/>
              </w:rPr>
              <w:t xml:space="preserve"> </w:t>
            </w:r>
            <w:r w:rsidRPr="00FF149C">
              <w:rPr>
                <w:rFonts w:ascii="Times New Roman" w:hAnsi="Times New Roman" w:cs="Times New Roman"/>
                <w:b/>
                <w:color w:val="000000" w:themeColor="text1"/>
              </w:rPr>
              <w:t>Tübüler tıkanıklık</w:t>
            </w:r>
          </w:p>
          <w:p w:rsidR="000E67C3" w:rsidRPr="000E67C3" w:rsidRDefault="000E67C3" w:rsidP="009C6BB2">
            <w:pPr>
              <w:pStyle w:val="Default"/>
              <w:jc w:val="both"/>
              <w:rPr>
                <w:rFonts w:ascii="Times New Roman" w:hAnsi="Times New Roman" w:cs="Times New Roman"/>
                <w:color w:val="000000" w:themeColor="text1"/>
              </w:rPr>
            </w:pPr>
            <w:r w:rsidRPr="000E67C3">
              <w:rPr>
                <w:rFonts w:ascii="Times New Roman" w:hAnsi="Times New Roman" w:cs="Times New Roman"/>
                <w:color w:val="000000" w:themeColor="text1"/>
              </w:rPr>
              <w:t xml:space="preserve">Asiklovir, sulfonamid, metotreksat, ürat, oksalat, multiple myelom </w:t>
            </w:r>
          </w:p>
        </w:tc>
      </w:tr>
    </w:tbl>
    <w:p w:rsidR="000E67C3" w:rsidRPr="000E67C3" w:rsidRDefault="000E67C3" w:rsidP="000E67C3">
      <w:pPr>
        <w:autoSpaceDE w:val="0"/>
        <w:autoSpaceDN w:val="0"/>
        <w:adjustRightInd w:val="0"/>
        <w:rPr>
          <w:b/>
          <w:color w:val="000000" w:themeColor="text1"/>
          <w:szCs w:val="24"/>
        </w:rPr>
      </w:pPr>
    </w:p>
    <w:p w:rsidR="000E67C3" w:rsidRPr="000E67C3" w:rsidRDefault="000E67C3" w:rsidP="000E67C3">
      <w:pPr>
        <w:autoSpaceDE w:val="0"/>
        <w:autoSpaceDN w:val="0"/>
        <w:adjustRightInd w:val="0"/>
        <w:spacing w:after="200"/>
        <w:rPr>
          <w:color w:val="000000" w:themeColor="text1"/>
          <w:szCs w:val="24"/>
        </w:rPr>
      </w:pPr>
      <w:r w:rsidRPr="000E67C3">
        <w:rPr>
          <w:color w:val="000000" w:themeColor="text1"/>
          <w:szCs w:val="24"/>
        </w:rPr>
        <w:tab/>
        <w:t>Toksik ATN'nin en sık sebebi olan kontrast nefropatisi genelde doz bağımlıdır, kreatinin kontrast madde maruziyetinden 24-48 saat sonra artar ve 4-5 günde maksimum etkiye ulaşarak 7-10 güne kadar uzayıp düşmeye başlar (23). Patogenezinde iyota bağlı direk tübüler epitel hücre hasarı nedeniyle apoptozis, medüller hipoksi, vazodilatasyonu takiben intrarenal vazokonstrüksiyon rol oynar. Kontrast maddenin ozmotik diürez etkisiyle henle çıkan koluna daha çok sodyum ulaşır. Sodyum reabsorbsiyonu için daha çok oksijene ihtiyaç duyulması medüller hipoksiye yol açar. Viskoziteye bağlı intratübüler basınç artı</w:t>
      </w:r>
      <w:r w:rsidR="003C59C9">
        <w:rPr>
          <w:color w:val="000000" w:themeColor="text1"/>
          <w:szCs w:val="24"/>
        </w:rPr>
        <w:t xml:space="preserve">şı ve GFR de düşme gözlenir. </w:t>
      </w:r>
      <w:r w:rsidRPr="000E67C3">
        <w:rPr>
          <w:color w:val="000000" w:themeColor="text1"/>
          <w:szCs w:val="24"/>
        </w:rPr>
        <w:t xml:space="preserve">İyodlu kontrast ajanlar iyonik monomerik,  noniyonik monomerik, iyonik dimerik, noniyonik dimerik olmak üzere 4 kategoriye ayrılır. İyot/total atom miktarı, ozmolarite ve viskozitesine göre toksik etkileri değişkenlik gösterir </w:t>
      </w:r>
      <w:r w:rsidRPr="000E67C3">
        <w:rPr>
          <w:color w:val="000000" w:themeColor="text1"/>
          <w:szCs w:val="24"/>
        </w:rPr>
        <w:lastRenderedPageBreak/>
        <w:t>(29). Ozmotik etkinin az olması nedeniyle nedeniyle düşük osmolaliteli ve noniyonik kontrast maddelerde kontrast nefropatisi daha az sıklıkta gelişir (23,30).</w:t>
      </w:r>
    </w:p>
    <w:p w:rsidR="000E67C3" w:rsidRPr="000E67C3" w:rsidRDefault="000E67C3" w:rsidP="000E67C3">
      <w:pPr>
        <w:autoSpaceDE w:val="0"/>
        <w:autoSpaceDN w:val="0"/>
        <w:adjustRightInd w:val="0"/>
        <w:rPr>
          <w:color w:val="000000" w:themeColor="text1"/>
          <w:szCs w:val="24"/>
        </w:rPr>
      </w:pPr>
      <w:r w:rsidRPr="000E67C3">
        <w:rPr>
          <w:color w:val="000000" w:themeColor="text1"/>
          <w:szCs w:val="24"/>
        </w:rPr>
        <w:tab/>
        <w:t>Kontrast nefropatide genellikle oligoürik olmayan ABH görülür ve çoğunlukla geri dönüşümlüdür. İleri yaş, kronik böbrek hasarı, diyabet</w:t>
      </w:r>
      <w:r w:rsidR="00500346">
        <w:rPr>
          <w:color w:val="000000" w:themeColor="text1"/>
          <w:szCs w:val="24"/>
        </w:rPr>
        <w:t>es mellitus (</w:t>
      </w:r>
      <w:r w:rsidR="00D37588">
        <w:rPr>
          <w:color w:val="000000" w:themeColor="text1"/>
          <w:szCs w:val="24"/>
        </w:rPr>
        <w:t>DM)</w:t>
      </w:r>
      <w:r w:rsidRPr="000E67C3">
        <w:rPr>
          <w:color w:val="000000" w:themeColor="text1"/>
          <w:szCs w:val="24"/>
        </w:rPr>
        <w:t>, kalp yetmezliği</w:t>
      </w:r>
      <w:r w:rsidR="00D37588">
        <w:rPr>
          <w:color w:val="000000" w:themeColor="text1"/>
          <w:szCs w:val="24"/>
        </w:rPr>
        <w:t xml:space="preserve"> (KY)</w:t>
      </w:r>
      <w:r w:rsidRPr="000E67C3">
        <w:rPr>
          <w:color w:val="000000" w:themeColor="text1"/>
          <w:szCs w:val="24"/>
        </w:rPr>
        <w:t>, multiple miyelom, hipotansiyon gibi komorbid durumlar, nonsteroid antiinflamatuvar ajanlar kullanan hastalar yüksek risk altındadır (31). Serum kreatinin düzeyi 2.0 mg/dL’nin üzerinde olan hastalarda RKN (radyo kontrast nefropati) riski % 20’nin üzerindedir. Yüksek riskli grupta hastalarda kalıcı böbrek yetmezliği gelişebilir (32,33). Hastaların % 1’inden fazlasında diyaliz gereksinimi olur (34).</w:t>
      </w:r>
    </w:p>
    <w:p w:rsidR="000E67C3" w:rsidRPr="000E67C3" w:rsidRDefault="000E67C3" w:rsidP="000E67C3">
      <w:pPr>
        <w:autoSpaceDE w:val="0"/>
        <w:autoSpaceDN w:val="0"/>
        <w:adjustRightInd w:val="0"/>
        <w:rPr>
          <w:color w:val="000000" w:themeColor="text1"/>
          <w:szCs w:val="24"/>
        </w:rPr>
      </w:pPr>
      <w:r w:rsidRPr="000E67C3">
        <w:rPr>
          <w:color w:val="000000" w:themeColor="text1"/>
          <w:szCs w:val="24"/>
        </w:rPr>
        <w:tab/>
        <w:t>ACEi ve ARB’ler</w:t>
      </w:r>
      <w:r w:rsidR="00500346">
        <w:rPr>
          <w:color w:val="000000" w:themeColor="text1"/>
          <w:szCs w:val="24"/>
        </w:rPr>
        <w:t xml:space="preserve"> (anjiyotensin2 reseptör blokörü)</w:t>
      </w:r>
      <w:r w:rsidRPr="000E67C3">
        <w:rPr>
          <w:color w:val="000000" w:themeColor="text1"/>
          <w:szCs w:val="24"/>
        </w:rPr>
        <w:t xml:space="preserve"> efferent arteriyolerde vazokonstriksiyonu azaltarak GFH'yi azaltır (23). Efektif kan volümü azalmış (ör: dekompanse kalp yetmezliği) veya hipotansif ve renin-anjiyotensin sistemi aktif hastalarda RAS </w:t>
      </w:r>
      <w:r w:rsidR="00500346">
        <w:rPr>
          <w:color w:val="000000" w:themeColor="text1"/>
          <w:szCs w:val="24"/>
        </w:rPr>
        <w:t xml:space="preserve">(renin anjiyotensin aldosteron sistemi) </w:t>
      </w:r>
      <w:r w:rsidRPr="000E67C3">
        <w:rPr>
          <w:color w:val="000000" w:themeColor="text1"/>
          <w:szCs w:val="24"/>
        </w:rPr>
        <w:t>blokeri kullanımı ABH gelişimini kolaylaştırır.</w:t>
      </w:r>
    </w:p>
    <w:p w:rsidR="000E67C3" w:rsidRPr="000E67C3" w:rsidRDefault="000E67C3" w:rsidP="000E67C3">
      <w:pPr>
        <w:autoSpaceDE w:val="0"/>
        <w:autoSpaceDN w:val="0"/>
        <w:adjustRightInd w:val="0"/>
        <w:rPr>
          <w:color w:val="000000" w:themeColor="text1"/>
          <w:szCs w:val="24"/>
        </w:rPr>
      </w:pPr>
      <w:r w:rsidRPr="000E67C3">
        <w:rPr>
          <w:color w:val="000000" w:themeColor="text1"/>
          <w:szCs w:val="24"/>
        </w:rPr>
        <w:tab/>
        <w:t>Nonsteroid anti inflamatuvar ilaçlar COX</w:t>
      </w:r>
      <w:r w:rsidR="00500346">
        <w:rPr>
          <w:color w:val="000000" w:themeColor="text1"/>
          <w:szCs w:val="24"/>
        </w:rPr>
        <w:t xml:space="preserve"> (siklooksijenaz)</w:t>
      </w:r>
      <w:r w:rsidRPr="000E67C3">
        <w:rPr>
          <w:color w:val="000000" w:themeColor="text1"/>
          <w:szCs w:val="24"/>
        </w:rPr>
        <w:t xml:space="preserve"> inhibisyonu ile vazodilatatör prostoglandin sentezini bozarak renal hemodinamiyi olumsuz etkiler, GFH'yi azaltır. Yaşlı hastalarda, KBH’sı bulunan, diüretik kullanan, aterosklerotik kalp hastalığı olan, hiponatremi, hipotansiyonu olan hastalarda toksisite riski artar (23,35). Selektif olan ve olmayan COX-2 inhibitörlerinin selektif olmayanlara göre birbirlerine üstünlükleri yoktur (27).</w:t>
      </w:r>
    </w:p>
    <w:p w:rsidR="000E67C3" w:rsidRPr="000E67C3" w:rsidRDefault="000E67C3" w:rsidP="000E67C3">
      <w:pPr>
        <w:autoSpaceDE w:val="0"/>
        <w:autoSpaceDN w:val="0"/>
        <w:adjustRightInd w:val="0"/>
        <w:rPr>
          <w:color w:val="000000" w:themeColor="text1"/>
          <w:szCs w:val="24"/>
        </w:rPr>
      </w:pPr>
      <w:r w:rsidRPr="000E67C3">
        <w:rPr>
          <w:color w:val="000000" w:themeColor="text1"/>
          <w:szCs w:val="24"/>
        </w:rPr>
        <w:tab/>
        <w:t>Kalsinörin inhibitörlerine (takrolimus,</w:t>
      </w:r>
      <w:r w:rsidR="00500346">
        <w:rPr>
          <w:color w:val="000000" w:themeColor="text1"/>
          <w:szCs w:val="24"/>
        </w:rPr>
        <w:t xml:space="preserve"> </w:t>
      </w:r>
      <w:r w:rsidRPr="000E67C3">
        <w:rPr>
          <w:color w:val="000000" w:themeColor="text1"/>
          <w:szCs w:val="24"/>
        </w:rPr>
        <w:t>siklosporin) bağlı ABH maruziyetten birkaç gün sonra başlar, doz azaltımı ile belirgin geriler. Patogenezinde afferent glomeruler arterlerde vazokonstiksiyon, mezengial hücrelerde kontraksiyon, tübüler sodyum retansiyonu rol oynar. Sonucunda potasyum ve ürik asid atılımının azalmasına, magnezyumun tübüler sekresyonunun artmasına ve hiperkloremik metabolik asidoza neden olabilirler (36).</w:t>
      </w:r>
    </w:p>
    <w:p w:rsidR="000E67C3" w:rsidRPr="000E67C3" w:rsidRDefault="000E67C3" w:rsidP="000E67C3">
      <w:pPr>
        <w:autoSpaceDE w:val="0"/>
        <w:autoSpaceDN w:val="0"/>
        <w:adjustRightInd w:val="0"/>
        <w:rPr>
          <w:color w:val="000000" w:themeColor="text1"/>
          <w:szCs w:val="24"/>
        </w:rPr>
      </w:pPr>
      <w:r w:rsidRPr="000E67C3">
        <w:rPr>
          <w:color w:val="000000" w:themeColor="text1"/>
          <w:szCs w:val="24"/>
        </w:rPr>
        <w:tab/>
        <w:t>Amfoterisin B, aminoglikozid,  asiklovir, foskarnet gibi antibiyotikler ile sisplatin, karboplatin, ifosfamid gibi kemoterapötik ilaçlar tübül epitelyal hücrelere direkt hasar vererek ve/veya intratübüler alanda tıkanıklığa yol açarak ABY gelişimine neden olur.</w:t>
      </w:r>
    </w:p>
    <w:p w:rsidR="000E67C3" w:rsidRPr="000E67C3" w:rsidRDefault="000E67C3" w:rsidP="000E67C3">
      <w:pPr>
        <w:autoSpaceDE w:val="0"/>
        <w:autoSpaceDN w:val="0"/>
        <w:adjustRightInd w:val="0"/>
        <w:rPr>
          <w:b/>
          <w:color w:val="000000" w:themeColor="text1"/>
          <w:szCs w:val="24"/>
        </w:rPr>
      </w:pPr>
    </w:p>
    <w:p w:rsidR="000E67C3" w:rsidRPr="000E67C3" w:rsidRDefault="000E67C3" w:rsidP="000E67C3">
      <w:pPr>
        <w:autoSpaceDE w:val="0"/>
        <w:autoSpaceDN w:val="0"/>
        <w:adjustRightInd w:val="0"/>
        <w:rPr>
          <w:b/>
          <w:color w:val="000000" w:themeColor="text1"/>
          <w:szCs w:val="24"/>
        </w:rPr>
      </w:pPr>
      <w:r w:rsidRPr="000E67C3">
        <w:rPr>
          <w:b/>
          <w:color w:val="000000" w:themeColor="text1"/>
          <w:szCs w:val="24"/>
        </w:rPr>
        <w:t>Renal Akut Böbrek Hasarının Diğer Nedenleri:</w:t>
      </w:r>
    </w:p>
    <w:p w:rsidR="000E67C3" w:rsidRPr="000E67C3" w:rsidRDefault="000E67C3" w:rsidP="000E67C3">
      <w:pPr>
        <w:autoSpaceDE w:val="0"/>
        <w:autoSpaceDN w:val="0"/>
        <w:adjustRightInd w:val="0"/>
        <w:rPr>
          <w:color w:val="000000" w:themeColor="text1"/>
          <w:szCs w:val="24"/>
        </w:rPr>
      </w:pPr>
      <w:r w:rsidRPr="000E67C3">
        <w:rPr>
          <w:color w:val="000000" w:themeColor="text1"/>
          <w:szCs w:val="24"/>
        </w:rPr>
        <w:tab/>
        <w:t xml:space="preserve">Renal ABH nin akut tübüler nekroz dışında daha birçok nedeni vardır. Başlıca diğer sebepler arasında primer glomerulonefritler, sistemik hastalıklara eşlik eden sekonder </w:t>
      </w:r>
      <w:r w:rsidRPr="000E67C3">
        <w:rPr>
          <w:color w:val="000000" w:themeColor="text1"/>
          <w:szCs w:val="24"/>
        </w:rPr>
        <w:lastRenderedPageBreak/>
        <w:t xml:space="preserve">glomerulonefritler (sistemik lupus eritematozus, Good Pasture sendromu ve vaskülitler glomerulonefrite bağlı ABY, malignite), tübülointerstisyel nefritler(penisilin, sefalosporin, trimetoprim, sülfonamid, rifampisin gibi ilaçlara bağlı gelişen granülosit, makrofaj ve/veya lenfositlerin tübülointerstisyel infiltrasyonu) sayılabilir (23,37). Glomerulonefritler skarsız iyileştiği gibi hızlı progresyon gösteren glomerulonefrit, glomerulonekroz ve yavaş progresyon gösteren glomerulosklerozis ve tubulointerstisyal fibrozisle seyreden kronik böbrek hasarına ilerleyebilir (38). </w:t>
      </w:r>
    </w:p>
    <w:p w:rsidR="000E67C3" w:rsidRPr="000E67C3" w:rsidRDefault="000E67C3" w:rsidP="000E67C3">
      <w:pPr>
        <w:autoSpaceDE w:val="0"/>
        <w:autoSpaceDN w:val="0"/>
        <w:adjustRightInd w:val="0"/>
        <w:rPr>
          <w:color w:val="000000" w:themeColor="text1"/>
          <w:szCs w:val="24"/>
        </w:rPr>
      </w:pPr>
      <w:r w:rsidRPr="000E67C3">
        <w:rPr>
          <w:color w:val="000000" w:themeColor="text1"/>
          <w:szCs w:val="24"/>
        </w:rPr>
        <w:tab/>
        <w:t>Ateroembolik ABH gelişimi bir diğer sebep olup ciddi aterosklerotik hastalığı olanlarda, aort veya renal arterlere yönelik yapılan cerrahi ya da anjiografik girişimsel işlemler sırasında ya da nadiren de olsa travma sonrası spontan olarak gelişebilir.</w:t>
      </w:r>
    </w:p>
    <w:p w:rsidR="000E67C3" w:rsidRPr="000E67C3" w:rsidRDefault="000E67C3" w:rsidP="000E67C3">
      <w:pPr>
        <w:autoSpaceDE w:val="0"/>
        <w:autoSpaceDN w:val="0"/>
        <w:adjustRightInd w:val="0"/>
        <w:rPr>
          <w:b/>
          <w:color w:val="000000" w:themeColor="text1"/>
          <w:szCs w:val="24"/>
        </w:rPr>
      </w:pPr>
    </w:p>
    <w:p w:rsidR="000E67C3" w:rsidRPr="000E67C3" w:rsidRDefault="000E67C3" w:rsidP="000E67C3">
      <w:pPr>
        <w:pStyle w:val="Balk3"/>
      </w:pPr>
      <w:bookmarkStart w:id="23" w:name="_Toc459712405"/>
      <w:r w:rsidRPr="000E67C3">
        <w:t>2.2</w:t>
      </w:r>
      <w:r>
        <w:t>.4. Postrenal Akut Böbrek Hasarı</w:t>
      </w:r>
      <w:bookmarkEnd w:id="23"/>
    </w:p>
    <w:p w:rsidR="000E67C3" w:rsidRPr="000E67C3" w:rsidRDefault="000E67C3" w:rsidP="000E67C3">
      <w:pPr>
        <w:autoSpaceDE w:val="0"/>
        <w:autoSpaceDN w:val="0"/>
        <w:adjustRightInd w:val="0"/>
        <w:rPr>
          <w:color w:val="000000" w:themeColor="text1"/>
          <w:szCs w:val="24"/>
        </w:rPr>
      </w:pPr>
      <w:r w:rsidRPr="000E67C3">
        <w:rPr>
          <w:color w:val="000000" w:themeColor="text1"/>
          <w:szCs w:val="24"/>
        </w:rPr>
        <w:tab/>
        <w:t xml:space="preserve">Postrenal ABH nin bir diğer adı obstrüktif üropatidir, renal pelvisten başlayan ana toplayıcı sistemden üretra distaline kadar herhangi yerde mekanik tıkanıklığa bağlı oluşur (tablo 2.3.). ABH’nin %5’inden sorumludur ve genellikle prostat öyküsü olan yaşlı erkeklerde, intraabdominal malignitesi olanlarda, soliter böbreklilerde akılda tutulmalıdır (39, 40). Sıklıkla sebep mesane boynu obstrüksiyonudur. Üreteral obstrüksiyonun genellikle bilateral olması beklenir ancak soliter böbrek veya kronik böbrek yetmezlikli hastalarda tek taraflı üreteral obstrüksiyon da yeterlidir. Erken müdahale gerektirdiği ve tedaviyle prognozunun iyi seyrettiği, geç kalınması durumunda kalıcı parankimal hasara yol açabileceği bilindiği için başlangıçta mutlaka ekarte edilmelidir (25,41). </w:t>
      </w:r>
    </w:p>
    <w:p w:rsidR="000E67C3" w:rsidRDefault="000E67C3" w:rsidP="000E67C3">
      <w:pPr>
        <w:autoSpaceDE w:val="0"/>
        <w:autoSpaceDN w:val="0"/>
        <w:adjustRightInd w:val="0"/>
        <w:rPr>
          <w:color w:val="000000" w:themeColor="text1"/>
          <w:szCs w:val="24"/>
        </w:rPr>
      </w:pPr>
    </w:p>
    <w:p w:rsidR="000E67C3" w:rsidRPr="000E67C3" w:rsidRDefault="000E67C3" w:rsidP="000E67C3">
      <w:pPr>
        <w:autoSpaceDE w:val="0"/>
        <w:autoSpaceDN w:val="0"/>
        <w:adjustRightInd w:val="0"/>
        <w:rPr>
          <w:color w:val="000000" w:themeColor="text1"/>
          <w:szCs w:val="24"/>
        </w:rPr>
      </w:pPr>
    </w:p>
    <w:p w:rsidR="000E67C3" w:rsidRPr="000E67C3" w:rsidRDefault="000E67C3" w:rsidP="000E67C3">
      <w:pPr>
        <w:pStyle w:val="ResimYazs"/>
        <w:rPr>
          <w:b w:val="0"/>
          <w:bCs w:val="0"/>
          <w:color w:val="000000" w:themeColor="text1"/>
          <w:szCs w:val="24"/>
        </w:rPr>
      </w:pPr>
      <w:bookmarkStart w:id="24" w:name="_Toc459713107"/>
      <w:r>
        <w:t xml:space="preserve">Tablo </w:t>
      </w:r>
      <w:r w:rsidR="001715F4">
        <w:t>2</w:t>
      </w:r>
      <w:r w:rsidR="00382CFB">
        <w:t>.</w:t>
      </w:r>
      <w:r w:rsidR="00C57A06">
        <w:fldChar w:fldCharType="begin"/>
      </w:r>
      <w:r w:rsidR="00353523">
        <w:instrText xml:space="preserve"> SEQ Tablo \* ARABIC \s 1 </w:instrText>
      </w:r>
      <w:r w:rsidR="00C57A06">
        <w:fldChar w:fldCharType="separate"/>
      </w:r>
      <w:r w:rsidR="001C364D">
        <w:rPr>
          <w:noProof/>
        </w:rPr>
        <w:t>3</w:t>
      </w:r>
      <w:r w:rsidR="00C57A06">
        <w:rPr>
          <w:noProof/>
        </w:rPr>
        <w:fldChar w:fldCharType="end"/>
      </w:r>
      <w:r>
        <w:t xml:space="preserve">. </w:t>
      </w:r>
      <w:r w:rsidRPr="00FF149C">
        <w:rPr>
          <w:bCs w:val="0"/>
          <w:color w:val="000000" w:themeColor="text1"/>
          <w:szCs w:val="24"/>
        </w:rPr>
        <w:t>Postrenal ABH Nedenleri</w:t>
      </w:r>
      <w:bookmarkEnd w:id="24"/>
    </w:p>
    <w:tbl>
      <w:tblPr>
        <w:tblStyle w:val="TabloKlavuzu"/>
        <w:tblW w:w="4884" w:type="pct"/>
        <w:tblInd w:w="108" w:type="dxa"/>
        <w:tblBorders>
          <w:insideH w:val="none" w:sz="0" w:space="0" w:color="auto"/>
          <w:insideV w:val="none" w:sz="0" w:space="0" w:color="auto"/>
        </w:tblBorders>
        <w:tblLook w:val="04A0"/>
      </w:tblPr>
      <w:tblGrid>
        <w:gridCol w:w="8794"/>
      </w:tblGrid>
      <w:tr w:rsidR="000E67C3" w:rsidRPr="000E67C3" w:rsidTr="00FF149C">
        <w:tc>
          <w:tcPr>
            <w:tcW w:w="5000" w:type="pct"/>
          </w:tcPr>
          <w:p w:rsidR="000E67C3" w:rsidRPr="00FF149C" w:rsidRDefault="000E67C3" w:rsidP="009C6BB2">
            <w:pPr>
              <w:autoSpaceDE w:val="0"/>
              <w:autoSpaceDN w:val="0"/>
              <w:adjustRightInd w:val="0"/>
              <w:rPr>
                <w:b/>
                <w:bCs/>
                <w:color w:val="000000" w:themeColor="text1"/>
                <w:szCs w:val="24"/>
              </w:rPr>
            </w:pPr>
            <w:r w:rsidRPr="00FF149C">
              <w:rPr>
                <w:b/>
                <w:bCs/>
                <w:color w:val="000000" w:themeColor="text1"/>
                <w:szCs w:val="24"/>
              </w:rPr>
              <w:t>1.Üreter obstrüksiyonu</w:t>
            </w:r>
          </w:p>
          <w:p w:rsidR="000E67C3" w:rsidRPr="000E67C3" w:rsidRDefault="000E67C3" w:rsidP="009C6BB2">
            <w:pPr>
              <w:autoSpaceDE w:val="0"/>
              <w:autoSpaceDN w:val="0"/>
              <w:adjustRightInd w:val="0"/>
              <w:rPr>
                <w:bCs/>
                <w:color w:val="000000" w:themeColor="text1"/>
                <w:szCs w:val="24"/>
              </w:rPr>
            </w:pPr>
            <w:r w:rsidRPr="000E67C3">
              <w:rPr>
                <w:color w:val="000000" w:themeColor="text1"/>
                <w:szCs w:val="24"/>
              </w:rPr>
              <w:t xml:space="preserve">Bilateral üreteral obstrüksiyon, </w:t>
            </w:r>
            <w:r w:rsidRPr="000E67C3">
              <w:rPr>
                <w:bCs/>
                <w:color w:val="000000" w:themeColor="text1"/>
                <w:szCs w:val="24"/>
              </w:rPr>
              <w:t>Tümöral infiltrasyon, taş, pıhtı, eksternal bası (retroperitoneal fibrozis, aort anevrizması, tümör, abse, operatif ligasyon)</w:t>
            </w:r>
          </w:p>
        </w:tc>
      </w:tr>
      <w:tr w:rsidR="000E67C3" w:rsidRPr="000E67C3" w:rsidTr="00FF149C">
        <w:tc>
          <w:tcPr>
            <w:tcW w:w="5000" w:type="pct"/>
          </w:tcPr>
          <w:p w:rsidR="000E67C3" w:rsidRPr="00FF149C" w:rsidRDefault="000E67C3" w:rsidP="009C6BB2">
            <w:pPr>
              <w:autoSpaceDE w:val="0"/>
              <w:autoSpaceDN w:val="0"/>
              <w:adjustRightInd w:val="0"/>
              <w:rPr>
                <w:b/>
                <w:bCs/>
                <w:color w:val="000000" w:themeColor="text1"/>
                <w:szCs w:val="24"/>
              </w:rPr>
            </w:pPr>
            <w:r w:rsidRPr="00FF149C">
              <w:rPr>
                <w:b/>
                <w:bCs/>
                <w:color w:val="000000" w:themeColor="text1"/>
                <w:szCs w:val="24"/>
              </w:rPr>
              <w:t xml:space="preserve">2.Mesane </w:t>
            </w:r>
          </w:p>
          <w:p w:rsidR="000E67C3" w:rsidRPr="000E67C3" w:rsidRDefault="000E67C3" w:rsidP="009C6BB2">
            <w:pPr>
              <w:autoSpaceDE w:val="0"/>
              <w:autoSpaceDN w:val="0"/>
              <w:adjustRightInd w:val="0"/>
              <w:rPr>
                <w:bCs/>
                <w:color w:val="000000" w:themeColor="text1"/>
                <w:szCs w:val="24"/>
              </w:rPr>
            </w:pPr>
            <w:r w:rsidRPr="000E67C3">
              <w:rPr>
                <w:bCs/>
                <w:color w:val="000000" w:themeColor="text1"/>
                <w:szCs w:val="24"/>
              </w:rPr>
              <w:t>Prostat hipertrofisi, adenom, kanser, Nörojen mesane, antikolinerjik tedavi, taş, pıhtı</w:t>
            </w:r>
          </w:p>
        </w:tc>
      </w:tr>
      <w:tr w:rsidR="000E67C3" w:rsidRPr="000E67C3" w:rsidTr="00FF149C">
        <w:tc>
          <w:tcPr>
            <w:tcW w:w="5000" w:type="pct"/>
          </w:tcPr>
          <w:p w:rsidR="000E67C3" w:rsidRPr="00FF149C" w:rsidRDefault="000E67C3" w:rsidP="009C6BB2">
            <w:pPr>
              <w:autoSpaceDE w:val="0"/>
              <w:autoSpaceDN w:val="0"/>
              <w:adjustRightInd w:val="0"/>
              <w:rPr>
                <w:b/>
                <w:bCs/>
                <w:color w:val="000000" w:themeColor="text1"/>
                <w:szCs w:val="24"/>
              </w:rPr>
            </w:pPr>
            <w:r w:rsidRPr="00FF149C">
              <w:rPr>
                <w:b/>
                <w:bCs/>
                <w:color w:val="000000" w:themeColor="text1"/>
                <w:szCs w:val="24"/>
              </w:rPr>
              <w:t>3.Üretra</w:t>
            </w:r>
          </w:p>
          <w:p w:rsidR="000E67C3" w:rsidRPr="000E67C3" w:rsidRDefault="000E67C3" w:rsidP="009C6BB2">
            <w:pPr>
              <w:autoSpaceDE w:val="0"/>
              <w:autoSpaceDN w:val="0"/>
              <w:adjustRightInd w:val="0"/>
              <w:rPr>
                <w:bCs/>
                <w:color w:val="000000" w:themeColor="text1"/>
                <w:szCs w:val="24"/>
              </w:rPr>
            </w:pPr>
            <w:r w:rsidRPr="000E67C3">
              <w:rPr>
                <w:bCs/>
                <w:color w:val="000000" w:themeColor="text1"/>
                <w:szCs w:val="24"/>
              </w:rPr>
              <w:t>Üretral darlık, posterior üretral valv, fimozis</w:t>
            </w:r>
          </w:p>
          <w:p w:rsidR="000E67C3" w:rsidRPr="000E67C3" w:rsidRDefault="000E67C3" w:rsidP="009C6BB2">
            <w:pPr>
              <w:autoSpaceDE w:val="0"/>
              <w:autoSpaceDN w:val="0"/>
              <w:adjustRightInd w:val="0"/>
              <w:rPr>
                <w:color w:val="000000" w:themeColor="text1"/>
                <w:szCs w:val="24"/>
              </w:rPr>
            </w:pPr>
            <w:r w:rsidRPr="000E67C3">
              <w:rPr>
                <w:color w:val="000000" w:themeColor="text1"/>
                <w:szCs w:val="24"/>
              </w:rPr>
              <w:t>Mesane boynundan eksternal üretral meatusa kadar olan obstrüksiyon</w:t>
            </w:r>
          </w:p>
        </w:tc>
      </w:tr>
    </w:tbl>
    <w:p w:rsidR="000E67C3" w:rsidRPr="000E67C3" w:rsidRDefault="000E67C3" w:rsidP="000E67C3">
      <w:pPr>
        <w:autoSpaceDE w:val="0"/>
        <w:autoSpaceDN w:val="0"/>
        <w:adjustRightInd w:val="0"/>
        <w:rPr>
          <w:bCs/>
          <w:color w:val="000000" w:themeColor="text1"/>
          <w:szCs w:val="24"/>
        </w:rPr>
      </w:pPr>
    </w:p>
    <w:p w:rsidR="000E67C3" w:rsidRPr="000E67C3" w:rsidRDefault="000E67C3" w:rsidP="000E67C3">
      <w:pPr>
        <w:tabs>
          <w:tab w:val="center" w:pos="4536"/>
        </w:tabs>
        <w:autoSpaceDE w:val="0"/>
        <w:autoSpaceDN w:val="0"/>
        <w:adjustRightInd w:val="0"/>
        <w:rPr>
          <w:color w:val="000000" w:themeColor="text1"/>
          <w:szCs w:val="24"/>
        </w:rPr>
      </w:pPr>
    </w:p>
    <w:p w:rsidR="000E67C3" w:rsidRPr="000E67C3" w:rsidRDefault="000E67C3" w:rsidP="000E67C3">
      <w:pPr>
        <w:pStyle w:val="Balk2"/>
      </w:pPr>
      <w:bookmarkStart w:id="25" w:name="_Toc459712406"/>
      <w:r w:rsidRPr="000E67C3">
        <w:lastRenderedPageBreak/>
        <w:t>2.3. ABH'ye Tanısal Yaklaşım</w:t>
      </w:r>
      <w:bookmarkEnd w:id="25"/>
    </w:p>
    <w:p w:rsidR="000E67C3" w:rsidRPr="000E67C3" w:rsidRDefault="000E67C3" w:rsidP="000E67C3">
      <w:pPr>
        <w:autoSpaceDE w:val="0"/>
        <w:autoSpaceDN w:val="0"/>
        <w:adjustRightInd w:val="0"/>
        <w:rPr>
          <w:color w:val="000000" w:themeColor="text1"/>
          <w:szCs w:val="24"/>
        </w:rPr>
      </w:pPr>
      <w:r>
        <w:rPr>
          <w:color w:val="000000" w:themeColor="text1"/>
          <w:szCs w:val="24"/>
        </w:rPr>
        <w:tab/>
      </w:r>
      <w:r w:rsidRPr="000E67C3">
        <w:rPr>
          <w:color w:val="000000" w:themeColor="text1"/>
          <w:szCs w:val="24"/>
        </w:rPr>
        <w:t>Tanı için öncelikle iyi bir anamnez ve detaylı sistemik muayene gereklidir. Anamnezinde aldığı sıvı miktarı ve volüm kaybı olup olmadığı, hipotansiyon, hemoraji, ateş, yakında geçirilmiş hastalık veya zeminde renal, kardiyak veya karaciğer hastalığı bulunması, nefrotoksik ajan, yakın zamanda intravenöz kontrast madde maruziyeti ve üriner semptomlar açısından sorgulanmalıdır (Tablo 2.4). Detaylı sistemik muayene yapılırken hastanın volüm durumu, döküntü, suprapubik veya abdominal kitle yönünden dikkatli olunmalıdır. Mesaneye sonda takılarak obstrüktif üropati açısından rezidüel idrar değerlendirmesi gereklidir. Öncelikli tetkikler olarak tam kan sayımı, serum kreatinini, üre veya kan üre azotu, sodyum, potasyum, kalsiyum, fosfor, albümin, tam idrar tetkiki, idrar mikroskopisi ve kan gazı değerlendirilmeli, gerekirse etyolojiye yönelik ileri tetkikler istenmelidir.</w:t>
      </w:r>
    </w:p>
    <w:p w:rsidR="000E67C3" w:rsidRPr="000E67C3" w:rsidRDefault="000E67C3" w:rsidP="000E67C3">
      <w:pPr>
        <w:autoSpaceDE w:val="0"/>
        <w:autoSpaceDN w:val="0"/>
        <w:adjustRightInd w:val="0"/>
        <w:rPr>
          <w:color w:val="000000" w:themeColor="text1"/>
          <w:szCs w:val="24"/>
        </w:rPr>
      </w:pPr>
    </w:p>
    <w:p w:rsidR="000E67C3" w:rsidRPr="000E67C3" w:rsidRDefault="00FF149C" w:rsidP="00FF149C">
      <w:pPr>
        <w:pStyle w:val="ResimYazs"/>
        <w:rPr>
          <w:b w:val="0"/>
          <w:color w:val="000000" w:themeColor="text1"/>
          <w:szCs w:val="24"/>
        </w:rPr>
      </w:pPr>
      <w:bookmarkStart w:id="26" w:name="_Toc459713108"/>
      <w:r>
        <w:t xml:space="preserve">Tablo </w:t>
      </w:r>
      <w:r w:rsidR="001715F4">
        <w:t>2</w:t>
      </w:r>
      <w:r w:rsidR="00382CFB">
        <w:t>.</w:t>
      </w:r>
      <w:r w:rsidR="00C57A06">
        <w:fldChar w:fldCharType="begin"/>
      </w:r>
      <w:r w:rsidR="00353523">
        <w:instrText xml:space="preserve"> SEQ Tablo \* ARABIC \s 1 </w:instrText>
      </w:r>
      <w:r w:rsidR="00C57A06">
        <w:fldChar w:fldCharType="separate"/>
      </w:r>
      <w:r w:rsidR="001C364D">
        <w:rPr>
          <w:noProof/>
        </w:rPr>
        <w:t>4</w:t>
      </w:r>
      <w:r w:rsidR="00C57A06">
        <w:rPr>
          <w:noProof/>
        </w:rPr>
        <w:fldChar w:fldCharType="end"/>
      </w:r>
      <w:r>
        <w:t xml:space="preserve">. </w:t>
      </w:r>
      <w:r w:rsidR="000E67C3" w:rsidRPr="00FF149C">
        <w:rPr>
          <w:color w:val="000000" w:themeColor="text1"/>
          <w:szCs w:val="24"/>
        </w:rPr>
        <w:t>ABH'yi Kolaylaştıran Faktörler</w:t>
      </w:r>
      <w:bookmarkEnd w:id="26"/>
    </w:p>
    <w:tbl>
      <w:tblPr>
        <w:tblStyle w:val="TabloKlavuzu"/>
        <w:tblW w:w="4881" w:type="pct"/>
        <w:tblInd w:w="108" w:type="dxa"/>
        <w:tblBorders>
          <w:insideH w:val="none" w:sz="0" w:space="0" w:color="auto"/>
          <w:insideV w:val="none" w:sz="0" w:space="0" w:color="auto"/>
        </w:tblBorders>
        <w:tblLook w:val="04A0"/>
      </w:tblPr>
      <w:tblGrid>
        <w:gridCol w:w="8789"/>
      </w:tblGrid>
      <w:tr w:rsidR="000E67C3" w:rsidRPr="000E67C3" w:rsidTr="00FF149C">
        <w:tc>
          <w:tcPr>
            <w:tcW w:w="5000" w:type="pct"/>
          </w:tcPr>
          <w:p w:rsidR="000E67C3" w:rsidRPr="00FF149C" w:rsidRDefault="000E67C3" w:rsidP="009C6BB2">
            <w:pPr>
              <w:autoSpaceDE w:val="0"/>
              <w:autoSpaceDN w:val="0"/>
              <w:adjustRightInd w:val="0"/>
              <w:rPr>
                <w:b/>
                <w:color w:val="000000" w:themeColor="text1"/>
                <w:szCs w:val="24"/>
              </w:rPr>
            </w:pPr>
            <w:r w:rsidRPr="00FF149C">
              <w:rPr>
                <w:b/>
                <w:color w:val="000000" w:themeColor="text1"/>
                <w:szCs w:val="24"/>
              </w:rPr>
              <w:t>1.Hasta ilişkili faktörler</w:t>
            </w:r>
          </w:p>
        </w:tc>
      </w:tr>
      <w:tr w:rsidR="000E67C3" w:rsidRPr="000E67C3" w:rsidTr="00FF149C">
        <w:tc>
          <w:tcPr>
            <w:tcW w:w="5000" w:type="pct"/>
          </w:tcPr>
          <w:p w:rsidR="000E67C3" w:rsidRPr="000E67C3" w:rsidRDefault="000E67C3" w:rsidP="009C6BB2">
            <w:pPr>
              <w:autoSpaceDE w:val="0"/>
              <w:autoSpaceDN w:val="0"/>
              <w:adjustRightInd w:val="0"/>
              <w:rPr>
                <w:color w:val="000000" w:themeColor="text1"/>
                <w:szCs w:val="24"/>
              </w:rPr>
            </w:pPr>
            <w:r w:rsidRPr="000E67C3">
              <w:rPr>
                <w:color w:val="000000" w:themeColor="text1"/>
                <w:szCs w:val="24"/>
              </w:rPr>
              <w:t>İleri yaş(&gt;75), DM öyküsü, KBH öyküsü, hipertansiyon, sepsis, hepatik yetmezlik, perioperatif kardiyak yetmezlik, renal arter stenozu, hiperkalsemi</w:t>
            </w:r>
          </w:p>
        </w:tc>
      </w:tr>
      <w:tr w:rsidR="000E67C3" w:rsidRPr="000E67C3" w:rsidTr="00FF149C">
        <w:tc>
          <w:tcPr>
            <w:tcW w:w="5000" w:type="pct"/>
          </w:tcPr>
          <w:p w:rsidR="000E67C3" w:rsidRPr="00FF149C" w:rsidRDefault="000E67C3" w:rsidP="009C6BB2">
            <w:pPr>
              <w:autoSpaceDE w:val="0"/>
              <w:autoSpaceDN w:val="0"/>
              <w:adjustRightInd w:val="0"/>
              <w:rPr>
                <w:b/>
                <w:color w:val="000000" w:themeColor="text1"/>
                <w:szCs w:val="24"/>
              </w:rPr>
            </w:pPr>
            <w:r w:rsidRPr="00FF149C">
              <w:rPr>
                <w:b/>
                <w:color w:val="000000" w:themeColor="text1"/>
                <w:szCs w:val="24"/>
              </w:rPr>
              <w:t>2.İlaç ilişkili faktörler</w:t>
            </w:r>
          </w:p>
        </w:tc>
      </w:tr>
      <w:tr w:rsidR="000E67C3" w:rsidRPr="000E67C3" w:rsidTr="00FF149C">
        <w:tc>
          <w:tcPr>
            <w:tcW w:w="5000" w:type="pct"/>
          </w:tcPr>
          <w:p w:rsidR="000E67C3" w:rsidRPr="000E67C3" w:rsidRDefault="000E67C3" w:rsidP="009C6BB2">
            <w:pPr>
              <w:tabs>
                <w:tab w:val="left" w:pos="2280"/>
              </w:tabs>
              <w:autoSpaceDE w:val="0"/>
              <w:autoSpaceDN w:val="0"/>
              <w:adjustRightInd w:val="0"/>
              <w:rPr>
                <w:color w:val="000000" w:themeColor="text1"/>
                <w:szCs w:val="24"/>
              </w:rPr>
            </w:pPr>
            <w:r w:rsidRPr="000E67C3">
              <w:rPr>
                <w:color w:val="000000" w:themeColor="text1"/>
                <w:szCs w:val="24"/>
              </w:rPr>
              <w:t xml:space="preserve">NSAI, ACEİ, ARB, COXi, kontrast madde, siklosporin, takrolimus vd. </w:t>
            </w:r>
            <w:r w:rsidRPr="000E67C3">
              <w:rPr>
                <w:color w:val="000000" w:themeColor="text1"/>
                <w:szCs w:val="24"/>
              </w:rPr>
              <w:tab/>
            </w:r>
          </w:p>
        </w:tc>
      </w:tr>
      <w:tr w:rsidR="000E67C3" w:rsidRPr="000E67C3" w:rsidTr="00FF149C">
        <w:tc>
          <w:tcPr>
            <w:tcW w:w="5000" w:type="pct"/>
          </w:tcPr>
          <w:p w:rsidR="000E67C3" w:rsidRPr="00FF149C" w:rsidRDefault="000E67C3" w:rsidP="009C6BB2">
            <w:pPr>
              <w:tabs>
                <w:tab w:val="left" w:pos="2280"/>
              </w:tabs>
              <w:autoSpaceDE w:val="0"/>
              <w:autoSpaceDN w:val="0"/>
              <w:adjustRightInd w:val="0"/>
              <w:rPr>
                <w:b/>
                <w:color w:val="000000" w:themeColor="text1"/>
                <w:szCs w:val="24"/>
              </w:rPr>
            </w:pPr>
            <w:r w:rsidRPr="00FF149C">
              <w:rPr>
                <w:b/>
                <w:color w:val="000000" w:themeColor="text1"/>
                <w:szCs w:val="24"/>
              </w:rPr>
              <w:t>3.İşleme bağlı faktörler</w:t>
            </w:r>
          </w:p>
        </w:tc>
      </w:tr>
      <w:tr w:rsidR="000E67C3" w:rsidRPr="000E67C3" w:rsidTr="00FF149C">
        <w:tc>
          <w:tcPr>
            <w:tcW w:w="5000" w:type="pct"/>
          </w:tcPr>
          <w:p w:rsidR="000E67C3" w:rsidRPr="000E67C3" w:rsidRDefault="000E67C3" w:rsidP="009C6BB2">
            <w:pPr>
              <w:tabs>
                <w:tab w:val="left" w:pos="2280"/>
              </w:tabs>
              <w:autoSpaceDE w:val="0"/>
              <w:autoSpaceDN w:val="0"/>
              <w:adjustRightInd w:val="0"/>
              <w:rPr>
                <w:color w:val="000000" w:themeColor="text1"/>
                <w:szCs w:val="24"/>
              </w:rPr>
            </w:pPr>
            <w:r w:rsidRPr="000E67C3">
              <w:rPr>
                <w:color w:val="000000" w:themeColor="text1"/>
                <w:szCs w:val="24"/>
              </w:rPr>
              <w:t>Kardiyovasküler cerrahi, aterosklerotik hastada büyük damarlara anjiografi, intraabdominal basınç artışı, peroperatif aortik klempleme, organ nakli</w:t>
            </w:r>
          </w:p>
        </w:tc>
      </w:tr>
    </w:tbl>
    <w:p w:rsidR="000E67C3" w:rsidRPr="000E67C3" w:rsidRDefault="000E67C3" w:rsidP="000E67C3">
      <w:pPr>
        <w:autoSpaceDE w:val="0"/>
        <w:autoSpaceDN w:val="0"/>
        <w:adjustRightInd w:val="0"/>
        <w:rPr>
          <w:b/>
          <w:bCs/>
          <w:color w:val="000000" w:themeColor="text1"/>
          <w:szCs w:val="24"/>
        </w:rPr>
      </w:pPr>
    </w:p>
    <w:p w:rsidR="000E67C3" w:rsidRPr="000E67C3" w:rsidRDefault="000E67C3" w:rsidP="000E67C3">
      <w:pPr>
        <w:autoSpaceDE w:val="0"/>
        <w:autoSpaceDN w:val="0"/>
        <w:adjustRightInd w:val="0"/>
        <w:rPr>
          <w:b/>
          <w:bCs/>
          <w:color w:val="000000" w:themeColor="text1"/>
          <w:szCs w:val="24"/>
        </w:rPr>
      </w:pPr>
    </w:p>
    <w:p w:rsidR="000E67C3" w:rsidRPr="000E67C3" w:rsidRDefault="000E67C3" w:rsidP="000E67C3">
      <w:pPr>
        <w:autoSpaceDE w:val="0"/>
        <w:autoSpaceDN w:val="0"/>
        <w:adjustRightInd w:val="0"/>
        <w:rPr>
          <w:b/>
          <w:bCs/>
          <w:color w:val="000000" w:themeColor="text1"/>
          <w:szCs w:val="24"/>
        </w:rPr>
      </w:pPr>
      <w:r w:rsidRPr="000E67C3">
        <w:rPr>
          <w:b/>
          <w:bCs/>
          <w:color w:val="000000" w:themeColor="text1"/>
          <w:szCs w:val="24"/>
        </w:rPr>
        <w:t>Klirens Kavramı ve Kreatinin Klirensi</w:t>
      </w:r>
    </w:p>
    <w:p w:rsidR="000E67C3" w:rsidRPr="000E67C3" w:rsidRDefault="000E67C3" w:rsidP="000E67C3">
      <w:pPr>
        <w:autoSpaceDE w:val="0"/>
        <w:autoSpaceDN w:val="0"/>
        <w:adjustRightInd w:val="0"/>
        <w:rPr>
          <w:color w:val="000000" w:themeColor="text1"/>
          <w:szCs w:val="24"/>
        </w:rPr>
      </w:pPr>
      <w:r w:rsidRPr="000E67C3">
        <w:rPr>
          <w:color w:val="000000" w:themeColor="text1"/>
          <w:szCs w:val="24"/>
        </w:rPr>
        <w:tab/>
        <w:t>Klirens, birim zamanda ilgili maddeden temizlenen kan plazma hacmini belirtir.</w:t>
      </w:r>
    </w:p>
    <w:p w:rsidR="000E67C3" w:rsidRPr="000E67C3" w:rsidRDefault="000E67C3" w:rsidP="000E67C3">
      <w:pPr>
        <w:autoSpaceDE w:val="0"/>
        <w:autoSpaceDN w:val="0"/>
        <w:adjustRightInd w:val="0"/>
        <w:rPr>
          <w:color w:val="000000" w:themeColor="text1"/>
          <w:szCs w:val="24"/>
        </w:rPr>
      </w:pPr>
    </w:p>
    <w:p w:rsidR="000E67C3" w:rsidRPr="000E67C3" w:rsidRDefault="000E67C3" w:rsidP="000E67C3">
      <w:pPr>
        <w:autoSpaceDE w:val="0"/>
        <w:autoSpaceDN w:val="0"/>
        <w:adjustRightInd w:val="0"/>
        <w:rPr>
          <w:rFonts w:eastAsiaTheme="minorEastAsia"/>
          <w:bCs/>
          <w:color w:val="000000" w:themeColor="text1"/>
          <w:szCs w:val="24"/>
        </w:rPr>
      </w:pPr>
      <w:r w:rsidRPr="000E67C3">
        <w:rPr>
          <w:bCs/>
          <w:color w:val="000000" w:themeColor="text1"/>
          <w:szCs w:val="24"/>
        </w:rPr>
        <w:tab/>
        <w:t>Plazma Klirensi =</w:t>
      </w:r>
      <m:oMath>
        <m:f>
          <m:fPr>
            <m:ctrlPr>
              <w:rPr>
                <w:rFonts w:ascii="Cambria Math" w:hAnsi="Cambria Math"/>
                <w:bCs/>
                <w:i/>
                <w:color w:val="000000" w:themeColor="text1"/>
                <w:szCs w:val="24"/>
              </w:rPr>
            </m:ctrlPr>
          </m:fPr>
          <m:num>
            <m:r>
              <m:rPr>
                <m:sty m:val="p"/>
              </m:rPr>
              <w:rPr>
                <w:rFonts w:ascii="Cambria Math" w:hAnsi="Cambria Math"/>
                <w:color w:val="000000" w:themeColor="text1"/>
                <w:szCs w:val="24"/>
              </w:rPr>
              <m:t xml:space="preserve">Maddenin İdrardaki Konsantrasyonu (mg/ml) x İdrar Hacmi (ml/dk) </m:t>
            </m:r>
          </m:num>
          <m:den>
            <m:r>
              <m:rPr>
                <m:sty m:val="p"/>
              </m:rPr>
              <w:rPr>
                <w:rFonts w:ascii="Cambria Math" w:hAnsi="Cambria Math"/>
                <w:color w:val="000000" w:themeColor="text1"/>
                <w:szCs w:val="24"/>
              </w:rPr>
              <m:t>Maddenin Plazmadaki Konsantrasyonu (mg/ml)</m:t>
            </m:r>
          </m:den>
        </m:f>
      </m:oMath>
    </w:p>
    <w:p w:rsidR="000E67C3" w:rsidRPr="000E67C3" w:rsidRDefault="000E67C3" w:rsidP="000E67C3">
      <w:pPr>
        <w:autoSpaceDE w:val="0"/>
        <w:autoSpaceDN w:val="0"/>
        <w:adjustRightInd w:val="0"/>
        <w:rPr>
          <w:bCs/>
          <w:color w:val="000000" w:themeColor="text1"/>
          <w:szCs w:val="24"/>
        </w:rPr>
      </w:pPr>
    </w:p>
    <w:p w:rsidR="000E67C3" w:rsidRPr="000E67C3" w:rsidRDefault="000E67C3" w:rsidP="000E67C3">
      <w:pPr>
        <w:autoSpaceDE w:val="0"/>
        <w:autoSpaceDN w:val="0"/>
        <w:adjustRightInd w:val="0"/>
        <w:rPr>
          <w:color w:val="000000" w:themeColor="text1"/>
          <w:szCs w:val="24"/>
        </w:rPr>
      </w:pPr>
      <w:r w:rsidRPr="000E67C3">
        <w:rPr>
          <w:color w:val="000000" w:themeColor="text1"/>
          <w:szCs w:val="24"/>
        </w:rPr>
        <w:tab/>
        <w:t>Cockcroft-Gault Formülü:</w:t>
      </w:r>
    </w:p>
    <w:p w:rsidR="000E67C3" w:rsidRPr="000E67C3" w:rsidRDefault="000E67C3" w:rsidP="000E67C3">
      <w:pPr>
        <w:autoSpaceDE w:val="0"/>
        <w:autoSpaceDN w:val="0"/>
        <w:adjustRightInd w:val="0"/>
        <w:rPr>
          <w:color w:val="000000" w:themeColor="text1"/>
          <w:szCs w:val="24"/>
        </w:rPr>
      </w:pPr>
      <w:r w:rsidRPr="000E67C3">
        <w:rPr>
          <w:color w:val="000000" w:themeColor="text1"/>
          <w:szCs w:val="24"/>
        </w:rPr>
        <w:tab/>
        <w:t xml:space="preserve">Pratik olarak GFH’yi belirlemede kullanılan yöntemdir. Kreatinin tübüler sekresyonu nedeniyle elde edilen değer gerçek GFH’nin üzerindedir. Ayrıca 24 saatlik idrar toplanarak yapılan ölçümlerde idrarın hatalı toplanması kreatinin klirensinin yanlış </w:t>
      </w:r>
      <w:r w:rsidRPr="000E67C3">
        <w:rPr>
          <w:color w:val="000000" w:themeColor="text1"/>
          <w:szCs w:val="24"/>
        </w:rPr>
        <w:lastRenderedPageBreak/>
        <w:t>hesaplanmasına yol açabilmektedir. Normal değeri 90-120 ml/dk’dır. GFH'de 40 yaşından sonra sağlıklı insanlarda GFH’de yıllık ortalama 1 ml/dk’lık azalma olur. İdrar toplanmasına gerek olmadan,  yaşa, cinse ve kiloya göre hesaplanan kreatinin klirensi tek başına kreatinin düzeyine göre GFH’yi tahmin etmede daha başarılıdır. Yöntemin avantajı idrar toplanmasına ihtiyaç göstermemesidir (42, 43).</w:t>
      </w:r>
    </w:p>
    <w:p w:rsidR="000E67C3" w:rsidRPr="000E67C3" w:rsidRDefault="000E67C3" w:rsidP="000E67C3">
      <w:pPr>
        <w:autoSpaceDE w:val="0"/>
        <w:autoSpaceDN w:val="0"/>
        <w:adjustRightInd w:val="0"/>
        <w:rPr>
          <w:color w:val="000000" w:themeColor="text1"/>
          <w:szCs w:val="24"/>
        </w:rPr>
      </w:pPr>
    </w:p>
    <w:p w:rsidR="000E67C3" w:rsidRPr="000E67C3" w:rsidRDefault="000E67C3" w:rsidP="000E67C3">
      <w:pPr>
        <w:autoSpaceDE w:val="0"/>
        <w:autoSpaceDN w:val="0"/>
        <w:adjustRightInd w:val="0"/>
        <w:rPr>
          <w:bCs/>
          <w:color w:val="000000" w:themeColor="text1"/>
          <w:szCs w:val="24"/>
        </w:rPr>
      </w:pPr>
      <w:r w:rsidRPr="000E67C3">
        <w:rPr>
          <w:bCs/>
          <w:color w:val="000000" w:themeColor="text1"/>
          <w:szCs w:val="24"/>
        </w:rPr>
        <w:tab/>
        <w:t>GFH= (140-Yaş) x Vücut Ağırlığı / Serum Kreatinin x 72 x [0.85(Kadınlarda)]</w:t>
      </w:r>
    </w:p>
    <w:p w:rsidR="000E67C3" w:rsidRPr="000E67C3" w:rsidRDefault="000E67C3" w:rsidP="000E67C3">
      <w:pPr>
        <w:autoSpaceDE w:val="0"/>
        <w:autoSpaceDN w:val="0"/>
        <w:adjustRightInd w:val="0"/>
        <w:rPr>
          <w:color w:val="000000" w:themeColor="text1"/>
          <w:szCs w:val="24"/>
        </w:rPr>
      </w:pPr>
    </w:p>
    <w:p w:rsidR="000E67C3" w:rsidRPr="000E67C3" w:rsidRDefault="000E67C3" w:rsidP="000E67C3">
      <w:pPr>
        <w:autoSpaceDE w:val="0"/>
        <w:autoSpaceDN w:val="0"/>
        <w:adjustRightInd w:val="0"/>
        <w:ind w:firstLine="708"/>
        <w:rPr>
          <w:bCs/>
          <w:color w:val="000000" w:themeColor="text1"/>
          <w:szCs w:val="24"/>
        </w:rPr>
      </w:pPr>
      <w:r w:rsidRPr="000E67C3">
        <w:rPr>
          <w:color w:val="000000" w:themeColor="text1"/>
          <w:szCs w:val="24"/>
        </w:rPr>
        <w:t xml:space="preserve">MDRD ve CKD-EPI Formülleri: </w:t>
      </w:r>
    </w:p>
    <w:p w:rsidR="000E67C3" w:rsidRPr="000E67C3" w:rsidRDefault="000E67C3" w:rsidP="000E67C3">
      <w:pPr>
        <w:autoSpaceDE w:val="0"/>
        <w:autoSpaceDN w:val="0"/>
        <w:adjustRightInd w:val="0"/>
        <w:rPr>
          <w:bCs/>
          <w:color w:val="000000" w:themeColor="text1"/>
          <w:szCs w:val="24"/>
        </w:rPr>
      </w:pPr>
      <w:r w:rsidRPr="000E67C3">
        <w:rPr>
          <w:bCs/>
          <w:color w:val="000000" w:themeColor="text1"/>
          <w:szCs w:val="24"/>
        </w:rPr>
        <w:tab/>
        <w:t xml:space="preserve">Güncel olarak sık kabul gören </w:t>
      </w:r>
      <w:r w:rsidRPr="000E67C3">
        <w:rPr>
          <w:szCs w:val="24"/>
        </w:rPr>
        <w:t xml:space="preserve">The Chronic Kidney Disease Epidemiology Collaboration (CKD-EPI) </w:t>
      </w:r>
      <w:r w:rsidRPr="000E67C3">
        <w:rPr>
          <w:rStyle w:val="hps"/>
          <w:szCs w:val="24"/>
        </w:rPr>
        <w:t>kreatinin</w:t>
      </w:r>
      <w:r w:rsidRPr="000E67C3">
        <w:rPr>
          <w:szCs w:val="24"/>
        </w:rPr>
        <w:t xml:space="preserve"> </w:t>
      </w:r>
      <w:r w:rsidRPr="000E67C3">
        <w:rPr>
          <w:rStyle w:val="hps"/>
          <w:szCs w:val="24"/>
        </w:rPr>
        <w:t>denklemi</w:t>
      </w:r>
      <w:r w:rsidRPr="000E67C3">
        <w:rPr>
          <w:szCs w:val="24"/>
        </w:rPr>
        <w:t xml:space="preserve"> ve The Modification of Diet in Renal Disease (MDRD) </w:t>
      </w:r>
      <w:r w:rsidRPr="000E67C3">
        <w:rPr>
          <w:rStyle w:val="hps"/>
          <w:szCs w:val="24"/>
        </w:rPr>
        <w:t>denklemi</w:t>
      </w:r>
      <w:r w:rsidRPr="000E67C3">
        <w:rPr>
          <w:szCs w:val="24"/>
        </w:rPr>
        <w:t xml:space="preserve"> </w:t>
      </w:r>
      <w:r w:rsidRPr="000E67C3">
        <w:rPr>
          <w:rStyle w:val="hps"/>
          <w:szCs w:val="24"/>
        </w:rPr>
        <w:t>dört</w:t>
      </w:r>
      <w:r w:rsidRPr="000E67C3">
        <w:rPr>
          <w:szCs w:val="24"/>
        </w:rPr>
        <w:t xml:space="preserve"> </w:t>
      </w:r>
      <w:r w:rsidRPr="000E67C3">
        <w:rPr>
          <w:rStyle w:val="hps"/>
          <w:szCs w:val="24"/>
        </w:rPr>
        <w:t>değişkene dayalı</w:t>
      </w:r>
      <w:r w:rsidRPr="000E67C3">
        <w:rPr>
          <w:szCs w:val="24"/>
        </w:rPr>
        <w:t>(</w:t>
      </w:r>
      <w:r w:rsidRPr="000E67C3">
        <w:rPr>
          <w:rStyle w:val="hps"/>
          <w:szCs w:val="24"/>
        </w:rPr>
        <w:t>serum</w:t>
      </w:r>
      <w:r w:rsidRPr="000E67C3">
        <w:rPr>
          <w:szCs w:val="24"/>
        </w:rPr>
        <w:t xml:space="preserve"> </w:t>
      </w:r>
      <w:r w:rsidRPr="000E67C3">
        <w:rPr>
          <w:rStyle w:val="hps"/>
          <w:szCs w:val="24"/>
        </w:rPr>
        <w:t>kreatinin</w:t>
      </w:r>
      <w:r w:rsidRPr="000E67C3">
        <w:rPr>
          <w:szCs w:val="24"/>
        </w:rPr>
        <w:t xml:space="preserve">, </w:t>
      </w:r>
      <w:r w:rsidRPr="000E67C3">
        <w:rPr>
          <w:rStyle w:val="hps"/>
          <w:szCs w:val="24"/>
        </w:rPr>
        <w:t>yaş, cinsiyet</w:t>
      </w:r>
      <w:r w:rsidRPr="000E67C3">
        <w:rPr>
          <w:szCs w:val="24"/>
        </w:rPr>
        <w:t xml:space="preserve"> </w:t>
      </w:r>
      <w:r w:rsidRPr="000E67C3">
        <w:rPr>
          <w:rStyle w:val="hps"/>
          <w:szCs w:val="24"/>
        </w:rPr>
        <w:t>ve ırk) ilişkiyi</w:t>
      </w:r>
      <w:r w:rsidRPr="000E67C3">
        <w:rPr>
          <w:szCs w:val="24"/>
        </w:rPr>
        <w:t xml:space="preserve"> </w:t>
      </w:r>
      <w:r w:rsidRPr="000E67C3">
        <w:rPr>
          <w:rStyle w:val="hps"/>
          <w:szCs w:val="24"/>
        </w:rPr>
        <w:t>modelleyerek farklı eğimler</w:t>
      </w:r>
      <w:r w:rsidRPr="000E67C3">
        <w:rPr>
          <w:szCs w:val="24"/>
        </w:rPr>
        <w:t xml:space="preserve"> üzerinden GFH hesaplanmasında yardımcı olur. </w:t>
      </w:r>
    </w:p>
    <w:p w:rsidR="000E67C3" w:rsidRPr="000E67C3" w:rsidRDefault="000E67C3" w:rsidP="000E67C3">
      <w:pPr>
        <w:pStyle w:val="Default"/>
        <w:jc w:val="both"/>
        <w:rPr>
          <w:rFonts w:ascii="Times New Roman" w:hAnsi="Times New Roman" w:cs="Times New Roman"/>
          <w:b/>
          <w:bCs/>
          <w:color w:val="000000" w:themeColor="text1"/>
        </w:rPr>
      </w:pPr>
    </w:p>
    <w:p w:rsidR="000E67C3" w:rsidRPr="000E67C3" w:rsidRDefault="000E67C3" w:rsidP="000E67C3">
      <w:pPr>
        <w:pStyle w:val="Default"/>
        <w:jc w:val="both"/>
        <w:rPr>
          <w:rFonts w:ascii="Times New Roman" w:hAnsi="Times New Roman" w:cs="Times New Roman"/>
          <w:b/>
          <w:bCs/>
          <w:color w:val="000000" w:themeColor="text1"/>
        </w:rPr>
      </w:pPr>
    </w:p>
    <w:p w:rsidR="000E67C3" w:rsidRPr="000E67C3" w:rsidRDefault="000E67C3" w:rsidP="000E67C3">
      <w:pPr>
        <w:pStyle w:val="Default"/>
        <w:jc w:val="both"/>
        <w:rPr>
          <w:rFonts w:ascii="Times New Roman" w:hAnsi="Times New Roman" w:cs="Times New Roman"/>
          <w:b/>
          <w:bCs/>
          <w:color w:val="000000" w:themeColor="text1"/>
        </w:rPr>
      </w:pPr>
      <w:r w:rsidRPr="000E67C3">
        <w:rPr>
          <w:rFonts w:ascii="Times New Roman" w:hAnsi="Times New Roman" w:cs="Times New Roman"/>
          <w:b/>
          <w:bCs/>
          <w:color w:val="000000" w:themeColor="text1"/>
        </w:rPr>
        <w:t xml:space="preserve">Fraksiyonel Sodyum Ekskresyonu </w:t>
      </w:r>
    </w:p>
    <w:p w:rsidR="000E67C3" w:rsidRPr="000E67C3" w:rsidRDefault="000E67C3" w:rsidP="000E67C3">
      <w:pPr>
        <w:pStyle w:val="Default"/>
        <w:jc w:val="both"/>
        <w:rPr>
          <w:rFonts w:ascii="Times New Roman" w:hAnsi="Times New Roman" w:cs="Times New Roman"/>
          <w:color w:val="000000" w:themeColor="text1"/>
        </w:rPr>
      </w:pPr>
      <w:r w:rsidRPr="000E67C3">
        <w:rPr>
          <w:rFonts w:ascii="Times New Roman" w:hAnsi="Times New Roman" w:cs="Times New Roman"/>
          <w:color w:val="000000" w:themeColor="text1"/>
        </w:rPr>
        <w:tab/>
        <w:t>ABH'nin ayırıcı tanısında özellikle fraksiyonel sodyum ekskresyonu (FENa) oldukça duyarlıdır (44).  Prerenal ABY‘de FENa &lt;1, akut tübüler nekrozda % 3‘den fazladır (Tablo 2.5.). Diüretik kullanan, bikarbonatürisi olan, tuz kaybı ile birlikte giden kronik böbrek yetmezliği olan veya adrenal yetersizliği olan hastaların prerenal FENa değeri &gt;% 1 olabilir. İdrar yolu obstrüksiyonu ve böbreğin damarsal hastalıklarında da FENa sıklıkla % 1‘in altındadır (45, 46).</w:t>
      </w:r>
    </w:p>
    <w:p w:rsidR="000E67C3" w:rsidRPr="000E67C3" w:rsidRDefault="000E67C3" w:rsidP="000E67C3">
      <w:pPr>
        <w:pStyle w:val="Default"/>
        <w:jc w:val="both"/>
        <w:rPr>
          <w:rFonts w:ascii="Times New Roman" w:hAnsi="Times New Roman" w:cs="Times New Roman"/>
          <w:color w:val="000000" w:themeColor="text1"/>
        </w:rPr>
      </w:pPr>
    </w:p>
    <w:p w:rsidR="000E67C3" w:rsidRDefault="000E67C3" w:rsidP="000E67C3">
      <w:pPr>
        <w:pStyle w:val="Default"/>
        <w:jc w:val="both"/>
        <w:rPr>
          <w:rFonts w:ascii="Times New Roman" w:hAnsi="Times New Roman" w:cs="Times New Roman"/>
          <w:bCs/>
          <w:color w:val="000000" w:themeColor="text1"/>
        </w:rPr>
      </w:pPr>
      <w:r w:rsidRPr="000E67C3">
        <w:rPr>
          <w:rFonts w:ascii="Times New Roman" w:hAnsi="Times New Roman" w:cs="Times New Roman"/>
          <w:b/>
          <w:bCs/>
          <w:color w:val="000000" w:themeColor="text1"/>
        </w:rPr>
        <w:tab/>
        <w:t>FENa=</w:t>
      </w:r>
      <w:r w:rsidRPr="000E67C3">
        <w:rPr>
          <w:rFonts w:ascii="Times New Roman" w:hAnsi="Times New Roman" w:cs="Times New Roman"/>
          <w:bCs/>
          <w:color w:val="000000" w:themeColor="text1"/>
        </w:rPr>
        <w:t>100x</w:t>
      </w:r>
      <m:oMath>
        <m:f>
          <m:fPr>
            <m:ctrlPr>
              <w:rPr>
                <w:rFonts w:ascii="Cambria Math" w:hAnsi="Cambria Math" w:cs="Times New Roman"/>
                <w:b/>
                <w:bCs/>
                <w:color w:val="000000" w:themeColor="text1"/>
              </w:rPr>
            </m:ctrlPr>
          </m:fPr>
          <m:num>
            <m:r>
              <m:rPr>
                <m:sty m:val="b"/>
              </m:rPr>
              <w:rPr>
                <w:rFonts w:ascii="Cambria Math" w:hAnsi="Cambria Math" w:cs="Times New Roman"/>
                <w:color w:val="000000" w:themeColor="text1"/>
              </w:rPr>
              <m:t>idrar sodyumu x serum kreatinini</m:t>
            </m:r>
          </m:num>
          <m:den>
            <m:r>
              <m:rPr>
                <m:sty m:val="b"/>
              </m:rPr>
              <w:rPr>
                <w:rFonts w:ascii="Cambria Math" w:hAnsi="Cambria Math" w:cs="Times New Roman"/>
                <w:color w:val="000000" w:themeColor="text1"/>
              </w:rPr>
              <m:t>serum sodyumu x idrar kreatinini</m:t>
            </m:r>
          </m:den>
        </m:f>
        <m:r>
          <m:rPr>
            <m:sty m:val="p"/>
          </m:rPr>
          <w:rPr>
            <w:rFonts w:ascii="Cambria Math" w:hAnsi="Cambria Math" w:cs="Times New Roman"/>
            <w:color w:val="000000" w:themeColor="text1"/>
          </w:rPr>
          <w:br/>
        </m:r>
      </m:oMath>
    </w:p>
    <w:p w:rsidR="00FF149C" w:rsidRPr="000E67C3" w:rsidRDefault="00FF149C" w:rsidP="000E67C3">
      <w:pPr>
        <w:pStyle w:val="Default"/>
        <w:jc w:val="both"/>
        <w:rPr>
          <w:rFonts w:ascii="Times New Roman" w:hAnsi="Times New Roman" w:cs="Times New Roman"/>
          <w:bCs/>
          <w:color w:val="000000" w:themeColor="text1"/>
        </w:rPr>
      </w:pPr>
    </w:p>
    <w:p w:rsidR="000E67C3" w:rsidRPr="00FF149C" w:rsidRDefault="00FF149C" w:rsidP="00FF149C">
      <w:pPr>
        <w:pStyle w:val="ResimYazs"/>
        <w:rPr>
          <w:color w:val="000000" w:themeColor="text1"/>
          <w:szCs w:val="24"/>
        </w:rPr>
      </w:pPr>
      <w:bookmarkStart w:id="27" w:name="_Toc459713109"/>
      <w:r>
        <w:t xml:space="preserve">Tablo </w:t>
      </w:r>
      <w:r w:rsidR="001715F4">
        <w:t>2</w:t>
      </w:r>
      <w:r w:rsidR="00382CFB">
        <w:t>.</w:t>
      </w:r>
      <w:r w:rsidR="00C57A06">
        <w:fldChar w:fldCharType="begin"/>
      </w:r>
      <w:r w:rsidR="00353523">
        <w:instrText xml:space="preserve"> SEQ Tablo \* ARABIC \s 1 </w:instrText>
      </w:r>
      <w:r w:rsidR="00C57A06">
        <w:fldChar w:fldCharType="separate"/>
      </w:r>
      <w:r w:rsidR="001C364D">
        <w:rPr>
          <w:noProof/>
        </w:rPr>
        <w:t>5</w:t>
      </w:r>
      <w:r w:rsidR="00C57A06">
        <w:rPr>
          <w:noProof/>
        </w:rPr>
        <w:fldChar w:fldCharType="end"/>
      </w:r>
      <w:r>
        <w:t xml:space="preserve">. </w:t>
      </w:r>
      <w:r w:rsidR="000E67C3" w:rsidRPr="00FF149C">
        <w:rPr>
          <w:bCs w:val="0"/>
          <w:color w:val="000000" w:themeColor="text1"/>
          <w:szCs w:val="24"/>
        </w:rPr>
        <w:t>Prerenal ABH/Renal ABH Farkları</w:t>
      </w:r>
      <w:bookmarkEnd w:id="27"/>
    </w:p>
    <w:tbl>
      <w:tblPr>
        <w:tblStyle w:val="TabloKlavuzu"/>
        <w:tblW w:w="4884" w:type="pct"/>
        <w:tblInd w:w="108" w:type="dxa"/>
        <w:tblLayout w:type="fixed"/>
        <w:tblLook w:val="04A0"/>
      </w:tblPr>
      <w:tblGrid>
        <w:gridCol w:w="1650"/>
        <w:gridCol w:w="1896"/>
        <w:gridCol w:w="1843"/>
        <w:gridCol w:w="1558"/>
        <w:gridCol w:w="1847"/>
      </w:tblGrid>
      <w:tr w:rsidR="000E67C3" w:rsidRPr="000E67C3" w:rsidTr="00FF149C">
        <w:tc>
          <w:tcPr>
            <w:tcW w:w="938" w:type="pct"/>
            <w:tcBorders>
              <w:top w:val="single" w:sz="18" w:space="0" w:color="auto"/>
              <w:left w:val="nil"/>
              <w:bottom w:val="single" w:sz="18" w:space="0" w:color="auto"/>
              <w:right w:val="nil"/>
            </w:tcBorders>
          </w:tcPr>
          <w:p w:rsidR="000E67C3" w:rsidRPr="000E67C3" w:rsidRDefault="000E67C3" w:rsidP="009C6BB2">
            <w:pPr>
              <w:jc w:val="center"/>
              <w:rPr>
                <w:b/>
                <w:bCs/>
                <w:color w:val="000000" w:themeColor="text1"/>
                <w:szCs w:val="24"/>
              </w:rPr>
            </w:pPr>
            <w:r w:rsidRPr="000E67C3">
              <w:rPr>
                <w:b/>
                <w:bCs/>
                <w:color w:val="000000" w:themeColor="text1"/>
                <w:szCs w:val="24"/>
              </w:rPr>
              <w:t>ABH Tipi</w:t>
            </w:r>
          </w:p>
        </w:tc>
        <w:tc>
          <w:tcPr>
            <w:tcW w:w="1078" w:type="pct"/>
            <w:tcBorders>
              <w:top w:val="single" w:sz="18" w:space="0" w:color="auto"/>
              <w:left w:val="nil"/>
              <w:bottom w:val="single" w:sz="18" w:space="0" w:color="auto"/>
              <w:right w:val="nil"/>
            </w:tcBorders>
          </w:tcPr>
          <w:p w:rsidR="000E67C3" w:rsidRPr="000E67C3" w:rsidRDefault="000E67C3" w:rsidP="009C6BB2">
            <w:pPr>
              <w:jc w:val="center"/>
              <w:rPr>
                <w:b/>
                <w:bCs/>
                <w:color w:val="000000" w:themeColor="text1"/>
                <w:szCs w:val="24"/>
              </w:rPr>
            </w:pPr>
            <w:r w:rsidRPr="000E67C3">
              <w:rPr>
                <w:b/>
                <w:bCs/>
                <w:color w:val="000000" w:themeColor="text1"/>
                <w:szCs w:val="24"/>
              </w:rPr>
              <w:t>BUN/Kreatinin</w:t>
            </w:r>
          </w:p>
        </w:tc>
        <w:tc>
          <w:tcPr>
            <w:tcW w:w="1048" w:type="pct"/>
            <w:tcBorders>
              <w:top w:val="single" w:sz="18" w:space="0" w:color="auto"/>
              <w:left w:val="nil"/>
              <w:bottom w:val="single" w:sz="18" w:space="0" w:color="auto"/>
              <w:right w:val="nil"/>
            </w:tcBorders>
          </w:tcPr>
          <w:p w:rsidR="000E67C3" w:rsidRPr="000E67C3" w:rsidRDefault="000E67C3" w:rsidP="009C6BB2">
            <w:pPr>
              <w:jc w:val="center"/>
              <w:rPr>
                <w:b/>
                <w:bCs/>
                <w:color w:val="000000" w:themeColor="text1"/>
                <w:szCs w:val="24"/>
              </w:rPr>
            </w:pPr>
            <w:r w:rsidRPr="000E67C3">
              <w:rPr>
                <w:b/>
                <w:bCs/>
                <w:color w:val="000000" w:themeColor="text1"/>
                <w:szCs w:val="24"/>
              </w:rPr>
              <w:t>İdrar Ozmolaritesi</w:t>
            </w:r>
          </w:p>
        </w:tc>
        <w:tc>
          <w:tcPr>
            <w:tcW w:w="886" w:type="pct"/>
            <w:tcBorders>
              <w:top w:val="single" w:sz="18" w:space="0" w:color="auto"/>
              <w:left w:val="nil"/>
              <w:bottom w:val="single" w:sz="18" w:space="0" w:color="auto"/>
              <w:right w:val="nil"/>
            </w:tcBorders>
          </w:tcPr>
          <w:p w:rsidR="000E67C3" w:rsidRPr="000E67C3" w:rsidRDefault="000E67C3" w:rsidP="009C6BB2">
            <w:pPr>
              <w:jc w:val="center"/>
              <w:rPr>
                <w:b/>
                <w:bCs/>
                <w:color w:val="000000" w:themeColor="text1"/>
                <w:szCs w:val="24"/>
              </w:rPr>
            </w:pPr>
            <w:r w:rsidRPr="000E67C3">
              <w:rPr>
                <w:b/>
                <w:bCs/>
                <w:color w:val="000000" w:themeColor="text1"/>
                <w:szCs w:val="24"/>
              </w:rPr>
              <w:t>Fraksiyonel</w:t>
            </w:r>
          </w:p>
          <w:p w:rsidR="000E67C3" w:rsidRPr="000E67C3" w:rsidRDefault="000E67C3" w:rsidP="009C6BB2">
            <w:pPr>
              <w:jc w:val="center"/>
              <w:rPr>
                <w:b/>
                <w:bCs/>
                <w:color w:val="000000" w:themeColor="text1"/>
                <w:szCs w:val="24"/>
              </w:rPr>
            </w:pPr>
            <w:r w:rsidRPr="000E67C3">
              <w:rPr>
                <w:b/>
                <w:bCs/>
                <w:color w:val="000000" w:themeColor="text1"/>
                <w:szCs w:val="24"/>
              </w:rPr>
              <w:t>Sodyum</w:t>
            </w:r>
          </w:p>
        </w:tc>
        <w:tc>
          <w:tcPr>
            <w:tcW w:w="1051" w:type="pct"/>
            <w:tcBorders>
              <w:top w:val="single" w:sz="18" w:space="0" w:color="auto"/>
              <w:left w:val="nil"/>
              <w:bottom w:val="single" w:sz="18" w:space="0" w:color="auto"/>
              <w:right w:val="nil"/>
            </w:tcBorders>
          </w:tcPr>
          <w:p w:rsidR="000E67C3" w:rsidRPr="000E67C3" w:rsidRDefault="000E67C3" w:rsidP="009C6BB2">
            <w:pPr>
              <w:jc w:val="center"/>
              <w:rPr>
                <w:b/>
                <w:bCs/>
                <w:color w:val="000000" w:themeColor="text1"/>
                <w:szCs w:val="24"/>
              </w:rPr>
            </w:pPr>
            <w:r w:rsidRPr="000E67C3">
              <w:rPr>
                <w:b/>
                <w:bCs/>
                <w:color w:val="000000" w:themeColor="text1"/>
                <w:szCs w:val="24"/>
              </w:rPr>
              <w:t>İdrar sodyumu (mmol/L)</w:t>
            </w:r>
          </w:p>
        </w:tc>
      </w:tr>
      <w:tr w:rsidR="00FF149C" w:rsidRPr="000E67C3" w:rsidTr="00FF149C">
        <w:tc>
          <w:tcPr>
            <w:tcW w:w="938" w:type="pct"/>
            <w:tcBorders>
              <w:top w:val="single" w:sz="18" w:space="0" w:color="auto"/>
              <w:left w:val="nil"/>
              <w:bottom w:val="nil"/>
              <w:right w:val="nil"/>
            </w:tcBorders>
          </w:tcPr>
          <w:p w:rsidR="000E67C3" w:rsidRPr="000E67C3" w:rsidRDefault="000E67C3" w:rsidP="009C6BB2">
            <w:pPr>
              <w:rPr>
                <w:bCs/>
                <w:color w:val="000000" w:themeColor="text1"/>
                <w:szCs w:val="24"/>
              </w:rPr>
            </w:pPr>
            <w:r w:rsidRPr="000E67C3">
              <w:rPr>
                <w:bCs/>
                <w:color w:val="000000" w:themeColor="text1"/>
                <w:szCs w:val="24"/>
              </w:rPr>
              <w:t>Prerenal ABH</w:t>
            </w:r>
          </w:p>
        </w:tc>
        <w:tc>
          <w:tcPr>
            <w:tcW w:w="1078" w:type="pct"/>
            <w:tcBorders>
              <w:top w:val="single" w:sz="18" w:space="0" w:color="auto"/>
              <w:left w:val="nil"/>
              <w:bottom w:val="nil"/>
              <w:right w:val="nil"/>
            </w:tcBorders>
            <w:vAlign w:val="center"/>
          </w:tcPr>
          <w:p w:rsidR="000E67C3" w:rsidRPr="000E67C3" w:rsidRDefault="000E67C3" w:rsidP="009C6BB2">
            <w:pPr>
              <w:jc w:val="center"/>
              <w:rPr>
                <w:bCs/>
                <w:color w:val="000000" w:themeColor="text1"/>
                <w:szCs w:val="24"/>
              </w:rPr>
            </w:pPr>
            <w:r w:rsidRPr="000E67C3">
              <w:rPr>
                <w:bCs/>
                <w:color w:val="000000" w:themeColor="text1"/>
                <w:szCs w:val="24"/>
              </w:rPr>
              <w:t>&gt; 20: 1</w:t>
            </w:r>
          </w:p>
        </w:tc>
        <w:tc>
          <w:tcPr>
            <w:tcW w:w="1048" w:type="pct"/>
            <w:tcBorders>
              <w:top w:val="single" w:sz="18" w:space="0" w:color="auto"/>
              <w:left w:val="nil"/>
              <w:bottom w:val="nil"/>
              <w:right w:val="nil"/>
            </w:tcBorders>
            <w:vAlign w:val="center"/>
          </w:tcPr>
          <w:p w:rsidR="000E67C3" w:rsidRPr="000E67C3" w:rsidRDefault="000E67C3" w:rsidP="009C6BB2">
            <w:pPr>
              <w:jc w:val="center"/>
              <w:rPr>
                <w:bCs/>
                <w:color w:val="000000" w:themeColor="text1"/>
                <w:szCs w:val="24"/>
              </w:rPr>
            </w:pPr>
            <w:r w:rsidRPr="000E67C3">
              <w:rPr>
                <w:bCs/>
                <w:color w:val="000000" w:themeColor="text1"/>
                <w:szCs w:val="24"/>
              </w:rPr>
              <w:t>&gt; 500 mOsm</w:t>
            </w:r>
          </w:p>
        </w:tc>
        <w:tc>
          <w:tcPr>
            <w:tcW w:w="886" w:type="pct"/>
            <w:tcBorders>
              <w:top w:val="single" w:sz="18" w:space="0" w:color="auto"/>
              <w:left w:val="nil"/>
              <w:bottom w:val="nil"/>
              <w:right w:val="nil"/>
            </w:tcBorders>
            <w:vAlign w:val="center"/>
          </w:tcPr>
          <w:p w:rsidR="000E67C3" w:rsidRPr="000E67C3" w:rsidRDefault="000E67C3" w:rsidP="009C6BB2">
            <w:pPr>
              <w:jc w:val="center"/>
              <w:rPr>
                <w:bCs/>
                <w:color w:val="000000" w:themeColor="text1"/>
                <w:szCs w:val="24"/>
              </w:rPr>
            </w:pPr>
            <w:r w:rsidRPr="000E67C3">
              <w:rPr>
                <w:bCs/>
                <w:color w:val="000000" w:themeColor="text1"/>
                <w:szCs w:val="24"/>
              </w:rPr>
              <w:t>&lt; 1%</w:t>
            </w:r>
          </w:p>
        </w:tc>
        <w:tc>
          <w:tcPr>
            <w:tcW w:w="1051" w:type="pct"/>
            <w:tcBorders>
              <w:top w:val="single" w:sz="18" w:space="0" w:color="auto"/>
              <w:left w:val="nil"/>
              <w:bottom w:val="nil"/>
              <w:right w:val="nil"/>
            </w:tcBorders>
            <w:vAlign w:val="center"/>
          </w:tcPr>
          <w:p w:rsidR="000E67C3" w:rsidRPr="000E67C3" w:rsidRDefault="000E67C3" w:rsidP="009C6BB2">
            <w:pPr>
              <w:jc w:val="center"/>
              <w:rPr>
                <w:bCs/>
                <w:color w:val="000000" w:themeColor="text1"/>
                <w:szCs w:val="24"/>
              </w:rPr>
            </w:pPr>
            <w:r w:rsidRPr="000E67C3">
              <w:rPr>
                <w:bCs/>
                <w:color w:val="000000" w:themeColor="text1"/>
                <w:szCs w:val="24"/>
              </w:rPr>
              <w:t>&lt;10</w:t>
            </w:r>
          </w:p>
        </w:tc>
      </w:tr>
      <w:tr w:rsidR="00FF149C" w:rsidRPr="000E67C3" w:rsidTr="00FF149C">
        <w:trPr>
          <w:trHeight w:val="450"/>
        </w:trPr>
        <w:tc>
          <w:tcPr>
            <w:tcW w:w="938" w:type="pct"/>
            <w:tcBorders>
              <w:top w:val="nil"/>
              <w:left w:val="nil"/>
              <w:right w:val="nil"/>
            </w:tcBorders>
          </w:tcPr>
          <w:p w:rsidR="000E67C3" w:rsidRPr="000E67C3" w:rsidRDefault="000E67C3" w:rsidP="009C6BB2">
            <w:pPr>
              <w:rPr>
                <w:bCs/>
                <w:color w:val="000000" w:themeColor="text1"/>
                <w:szCs w:val="24"/>
              </w:rPr>
            </w:pPr>
            <w:r w:rsidRPr="000E67C3">
              <w:rPr>
                <w:bCs/>
                <w:color w:val="000000" w:themeColor="text1"/>
                <w:szCs w:val="24"/>
              </w:rPr>
              <w:t>Renal ABH</w:t>
            </w:r>
          </w:p>
        </w:tc>
        <w:tc>
          <w:tcPr>
            <w:tcW w:w="1078" w:type="pct"/>
            <w:tcBorders>
              <w:top w:val="nil"/>
              <w:left w:val="nil"/>
              <w:right w:val="nil"/>
            </w:tcBorders>
            <w:vAlign w:val="center"/>
          </w:tcPr>
          <w:p w:rsidR="000E67C3" w:rsidRPr="000E67C3" w:rsidRDefault="000E67C3" w:rsidP="009C6BB2">
            <w:pPr>
              <w:jc w:val="center"/>
              <w:rPr>
                <w:bCs/>
                <w:color w:val="000000" w:themeColor="text1"/>
                <w:szCs w:val="24"/>
              </w:rPr>
            </w:pPr>
            <w:r w:rsidRPr="000E67C3">
              <w:rPr>
                <w:bCs/>
                <w:color w:val="000000" w:themeColor="text1"/>
                <w:szCs w:val="24"/>
              </w:rPr>
              <w:t>&lt; 20: 1</w:t>
            </w:r>
          </w:p>
        </w:tc>
        <w:tc>
          <w:tcPr>
            <w:tcW w:w="1048" w:type="pct"/>
            <w:tcBorders>
              <w:top w:val="nil"/>
              <w:left w:val="nil"/>
              <w:right w:val="nil"/>
            </w:tcBorders>
            <w:vAlign w:val="center"/>
          </w:tcPr>
          <w:p w:rsidR="000E67C3" w:rsidRPr="000E67C3" w:rsidRDefault="000E67C3" w:rsidP="009C6BB2">
            <w:pPr>
              <w:jc w:val="center"/>
              <w:rPr>
                <w:bCs/>
                <w:color w:val="000000" w:themeColor="text1"/>
                <w:szCs w:val="24"/>
              </w:rPr>
            </w:pPr>
            <w:r w:rsidRPr="000E67C3">
              <w:rPr>
                <w:bCs/>
                <w:color w:val="000000" w:themeColor="text1"/>
                <w:szCs w:val="24"/>
              </w:rPr>
              <w:t>250-300 mOsm</w:t>
            </w:r>
          </w:p>
        </w:tc>
        <w:tc>
          <w:tcPr>
            <w:tcW w:w="886" w:type="pct"/>
            <w:tcBorders>
              <w:top w:val="nil"/>
              <w:left w:val="nil"/>
              <w:right w:val="nil"/>
            </w:tcBorders>
            <w:vAlign w:val="center"/>
          </w:tcPr>
          <w:p w:rsidR="000E67C3" w:rsidRPr="000E67C3" w:rsidRDefault="000E67C3" w:rsidP="009C6BB2">
            <w:pPr>
              <w:jc w:val="center"/>
              <w:rPr>
                <w:bCs/>
                <w:color w:val="000000" w:themeColor="text1"/>
                <w:szCs w:val="24"/>
              </w:rPr>
            </w:pPr>
            <w:r w:rsidRPr="000E67C3">
              <w:rPr>
                <w:bCs/>
                <w:color w:val="000000" w:themeColor="text1"/>
                <w:szCs w:val="24"/>
              </w:rPr>
              <w:t>&gt; 3%</w:t>
            </w:r>
          </w:p>
        </w:tc>
        <w:tc>
          <w:tcPr>
            <w:tcW w:w="1051" w:type="pct"/>
            <w:tcBorders>
              <w:top w:val="nil"/>
              <w:left w:val="nil"/>
              <w:right w:val="nil"/>
            </w:tcBorders>
            <w:vAlign w:val="center"/>
          </w:tcPr>
          <w:p w:rsidR="000E67C3" w:rsidRPr="000E67C3" w:rsidRDefault="000E67C3" w:rsidP="009C6BB2">
            <w:pPr>
              <w:jc w:val="center"/>
              <w:rPr>
                <w:bCs/>
                <w:color w:val="000000" w:themeColor="text1"/>
                <w:szCs w:val="24"/>
              </w:rPr>
            </w:pPr>
            <w:r w:rsidRPr="000E67C3">
              <w:rPr>
                <w:bCs/>
                <w:color w:val="000000" w:themeColor="text1"/>
                <w:szCs w:val="24"/>
              </w:rPr>
              <w:t>&gt;40</w:t>
            </w:r>
          </w:p>
        </w:tc>
      </w:tr>
    </w:tbl>
    <w:p w:rsidR="000E67C3" w:rsidRPr="000E67C3" w:rsidRDefault="000E67C3" w:rsidP="000E67C3">
      <w:pPr>
        <w:pStyle w:val="Default"/>
        <w:jc w:val="both"/>
        <w:rPr>
          <w:rFonts w:ascii="Times New Roman" w:hAnsi="Times New Roman" w:cs="Times New Roman"/>
          <w:color w:val="000000" w:themeColor="text1"/>
        </w:rPr>
      </w:pPr>
    </w:p>
    <w:p w:rsidR="000E67C3" w:rsidRPr="000E67C3" w:rsidRDefault="000E67C3" w:rsidP="000E67C3">
      <w:pPr>
        <w:pStyle w:val="Default"/>
        <w:jc w:val="both"/>
        <w:rPr>
          <w:rFonts w:ascii="Times New Roman" w:hAnsi="Times New Roman" w:cs="Times New Roman"/>
          <w:color w:val="000000" w:themeColor="text1"/>
        </w:rPr>
      </w:pPr>
    </w:p>
    <w:p w:rsidR="000E67C3" w:rsidRPr="000E67C3" w:rsidRDefault="000E67C3" w:rsidP="00FF149C">
      <w:pPr>
        <w:pStyle w:val="Balk3"/>
      </w:pPr>
      <w:bookmarkStart w:id="28" w:name="_Toc459712407"/>
      <w:r w:rsidRPr="000E67C3">
        <w:lastRenderedPageBreak/>
        <w:t>2.3.1. ABH Tanı Kriterleri</w:t>
      </w:r>
      <w:bookmarkEnd w:id="28"/>
    </w:p>
    <w:p w:rsidR="000E67C3" w:rsidRPr="000E67C3" w:rsidRDefault="000E67C3" w:rsidP="000E67C3">
      <w:pPr>
        <w:autoSpaceDE w:val="0"/>
        <w:autoSpaceDN w:val="0"/>
        <w:adjustRightInd w:val="0"/>
        <w:rPr>
          <w:color w:val="000000" w:themeColor="text1"/>
          <w:szCs w:val="24"/>
        </w:rPr>
      </w:pPr>
      <w:r w:rsidRPr="000E67C3">
        <w:rPr>
          <w:color w:val="000000" w:themeColor="text1"/>
          <w:szCs w:val="24"/>
        </w:rPr>
        <w:tab/>
        <w:t xml:space="preserve">Akut böbrek hasarının 20'den fazla tanımı olup ve standart bir tanımlamaya gereksinim duyulmaktadır. Ortak görüş birliği olmayışı araştırmaların sonuçlarını, bildirilen insidans ve mortalite oranlarını büyük oranda etkilemektedir. Bu durum çalışmaların sonuçlarını kıyaslarken güçlüklere neden olmaktadır. </w:t>
      </w:r>
    </w:p>
    <w:p w:rsidR="000E67C3" w:rsidRPr="000E67C3" w:rsidRDefault="000E67C3" w:rsidP="000E67C3">
      <w:pPr>
        <w:autoSpaceDE w:val="0"/>
        <w:autoSpaceDN w:val="0"/>
        <w:adjustRightInd w:val="0"/>
        <w:rPr>
          <w:color w:val="000000" w:themeColor="text1"/>
          <w:szCs w:val="24"/>
        </w:rPr>
      </w:pPr>
      <w:r w:rsidRPr="000E67C3">
        <w:rPr>
          <w:color w:val="000000" w:themeColor="text1"/>
          <w:szCs w:val="24"/>
        </w:rPr>
        <w:t xml:space="preserve">Ortak karar için 2004 yılında önemli bir adım atılmış olup Acute Dialysis Quality Initiative (ADQI) uzlaşı grubu tarafından RIFLE kısaltmasıyla yeni bir tanımlama yapılmıştır (47). RIFLE, risk </w:t>
      </w:r>
      <w:r w:rsidRPr="000E67C3">
        <w:rPr>
          <w:iCs/>
          <w:color w:val="000000" w:themeColor="text1"/>
          <w:szCs w:val="24"/>
        </w:rPr>
        <w:t>(</w:t>
      </w:r>
      <w:r w:rsidRPr="000E67C3">
        <w:rPr>
          <w:b/>
          <w:bCs/>
          <w:iCs/>
          <w:color w:val="000000" w:themeColor="text1"/>
          <w:szCs w:val="24"/>
        </w:rPr>
        <w:t>R</w:t>
      </w:r>
      <w:r w:rsidRPr="000E67C3">
        <w:rPr>
          <w:iCs/>
          <w:color w:val="000000" w:themeColor="text1"/>
          <w:szCs w:val="24"/>
        </w:rPr>
        <w:t xml:space="preserve">isk), </w:t>
      </w:r>
      <w:r w:rsidRPr="000E67C3">
        <w:rPr>
          <w:color w:val="000000" w:themeColor="text1"/>
          <w:szCs w:val="24"/>
        </w:rPr>
        <w:t xml:space="preserve">hasar </w:t>
      </w:r>
      <w:r w:rsidRPr="000E67C3">
        <w:rPr>
          <w:iCs/>
          <w:color w:val="000000" w:themeColor="text1"/>
          <w:szCs w:val="24"/>
        </w:rPr>
        <w:t>(</w:t>
      </w:r>
      <w:r w:rsidRPr="000E67C3">
        <w:rPr>
          <w:b/>
          <w:bCs/>
          <w:iCs/>
          <w:color w:val="000000" w:themeColor="text1"/>
          <w:szCs w:val="24"/>
        </w:rPr>
        <w:t>I</w:t>
      </w:r>
      <w:r w:rsidRPr="000E67C3">
        <w:rPr>
          <w:iCs/>
          <w:color w:val="000000" w:themeColor="text1"/>
          <w:szCs w:val="24"/>
        </w:rPr>
        <w:t xml:space="preserve">njury), </w:t>
      </w:r>
      <w:r w:rsidRPr="000E67C3">
        <w:rPr>
          <w:color w:val="000000" w:themeColor="text1"/>
          <w:szCs w:val="24"/>
        </w:rPr>
        <w:t xml:space="preserve">yetmezlik </w:t>
      </w:r>
      <w:r w:rsidRPr="000E67C3">
        <w:rPr>
          <w:iCs/>
          <w:color w:val="000000" w:themeColor="text1"/>
          <w:szCs w:val="24"/>
        </w:rPr>
        <w:t>(</w:t>
      </w:r>
      <w:r w:rsidRPr="000E67C3">
        <w:rPr>
          <w:b/>
          <w:bCs/>
          <w:iCs/>
          <w:color w:val="000000" w:themeColor="text1"/>
          <w:szCs w:val="24"/>
        </w:rPr>
        <w:t>F</w:t>
      </w:r>
      <w:r w:rsidRPr="000E67C3">
        <w:rPr>
          <w:iCs/>
          <w:color w:val="000000" w:themeColor="text1"/>
          <w:szCs w:val="24"/>
        </w:rPr>
        <w:t>ailure),kayıp</w:t>
      </w:r>
      <w:r w:rsidRPr="000E67C3">
        <w:rPr>
          <w:color w:val="000000" w:themeColor="text1"/>
          <w:szCs w:val="24"/>
        </w:rPr>
        <w:t xml:space="preserve"> </w:t>
      </w:r>
      <w:r w:rsidRPr="000E67C3">
        <w:rPr>
          <w:iCs/>
          <w:color w:val="000000" w:themeColor="text1"/>
          <w:szCs w:val="24"/>
        </w:rPr>
        <w:t>(</w:t>
      </w:r>
      <w:r w:rsidRPr="000E67C3">
        <w:rPr>
          <w:b/>
          <w:bCs/>
          <w:iCs/>
          <w:color w:val="000000" w:themeColor="text1"/>
          <w:szCs w:val="24"/>
        </w:rPr>
        <w:t>L</w:t>
      </w:r>
      <w:r w:rsidRPr="000E67C3">
        <w:rPr>
          <w:iCs/>
          <w:color w:val="000000" w:themeColor="text1"/>
          <w:szCs w:val="24"/>
        </w:rPr>
        <w:t>oss of kidney function),</w:t>
      </w:r>
      <w:r w:rsidRPr="000E67C3">
        <w:rPr>
          <w:color w:val="000000" w:themeColor="text1"/>
          <w:szCs w:val="24"/>
        </w:rPr>
        <w:t xml:space="preserve"> son dönem böbrek yetmezliği </w:t>
      </w:r>
      <w:r w:rsidRPr="000E67C3">
        <w:rPr>
          <w:iCs/>
          <w:color w:val="000000" w:themeColor="text1"/>
          <w:szCs w:val="24"/>
        </w:rPr>
        <w:t>(</w:t>
      </w:r>
      <w:r w:rsidRPr="000E67C3">
        <w:rPr>
          <w:b/>
          <w:bCs/>
          <w:iCs/>
          <w:color w:val="000000" w:themeColor="text1"/>
          <w:szCs w:val="24"/>
        </w:rPr>
        <w:t>E</w:t>
      </w:r>
      <w:r w:rsidRPr="000E67C3">
        <w:rPr>
          <w:iCs/>
          <w:color w:val="000000" w:themeColor="text1"/>
          <w:szCs w:val="24"/>
        </w:rPr>
        <w:t>nd stage kidney disease</w:t>
      </w:r>
      <w:r w:rsidRPr="000E67C3">
        <w:rPr>
          <w:color w:val="000000" w:themeColor="text1"/>
          <w:szCs w:val="24"/>
        </w:rPr>
        <w:t xml:space="preserve">) açılımıyla 5 kriterden oluşur. İlk 3 kriter ile ABH şiddetini (risk, hasar, yetmezlik) tanımlar, son 2 kriter ile klinik sonucu (kayıp, son dönem böbrek hastalığı) tanımlar. RIFLE kriterleri belirlenirken ADQI çalışma grubu tarafından pratik açıdan uygulanır olması, değişik çalışmalar ve hasta grupları için yüksek özgünlük ve duyarlılık göstermesi, bazal kreatinin düzeyinin değerlendirmeye alınması, KBH zemininde ABH'yi tanımlamak için elverişli oluşu gibi özellikler dikkate alınmıştır (23). Daha duyarlı bir skorlama amaçlanarak 48 saat içindeki değişimler temel alınarak RIFLE modifikasyonu ile 2007 yılında Acute Kidney Injury Network (AKIN) tarafından AKIN kriterleri tanımlanmıştır (6). </w:t>
      </w:r>
    </w:p>
    <w:p w:rsidR="000E67C3" w:rsidRPr="000E67C3" w:rsidRDefault="000E67C3" w:rsidP="000E67C3">
      <w:pPr>
        <w:autoSpaceDE w:val="0"/>
        <w:autoSpaceDN w:val="0"/>
        <w:adjustRightInd w:val="0"/>
        <w:rPr>
          <w:b/>
          <w:iCs/>
          <w:color w:val="000000" w:themeColor="text1"/>
          <w:szCs w:val="24"/>
        </w:rPr>
      </w:pPr>
    </w:p>
    <w:p w:rsidR="000E67C3" w:rsidRPr="000E67C3" w:rsidRDefault="000E67C3" w:rsidP="00FF149C">
      <w:pPr>
        <w:pStyle w:val="Balk4"/>
      </w:pPr>
      <w:bookmarkStart w:id="29" w:name="_Toc459712408"/>
      <w:r w:rsidRPr="000E67C3">
        <w:t>2.3.1.1</w:t>
      </w:r>
      <w:r w:rsidR="00FF149C">
        <w:t>.</w:t>
      </w:r>
      <w:r w:rsidRPr="000E67C3">
        <w:t xml:space="preserve"> RIFLE Kriterleri</w:t>
      </w:r>
      <w:bookmarkEnd w:id="29"/>
    </w:p>
    <w:p w:rsidR="000E67C3" w:rsidRPr="000E67C3" w:rsidRDefault="000E67C3" w:rsidP="000E67C3">
      <w:pPr>
        <w:autoSpaceDE w:val="0"/>
        <w:autoSpaceDN w:val="0"/>
        <w:adjustRightInd w:val="0"/>
        <w:rPr>
          <w:color w:val="000000" w:themeColor="text1"/>
          <w:szCs w:val="24"/>
        </w:rPr>
      </w:pPr>
      <w:r w:rsidRPr="000E67C3">
        <w:rPr>
          <w:iCs/>
          <w:color w:val="000000" w:themeColor="text1"/>
          <w:szCs w:val="24"/>
        </w:rPr>
        <w:tab/>
        <w:t xml:space="preserve">RIFLE </w:t>
      </w:r>
      <w:r w:rsidRPr="000E67C3">
        <w:rPr>
          <w:color w:val="000000" w:themeColor="text1"/>
          <w:szCs w:val="24"/>
        </w:rPr>
        <w:t xml:space="preserve">sınıflamasına göre </w:t>
      </w:r>
      <w:r w:rsidRPr="000E67C3">
        <w:rPr>
          <w:b/>
          <w:bCs/>
          <w:color w:val="000000" w:themeColor="text1"/>
          <w:szCs w:val="24"/>
        </w:rPr>
        <w:t xml:space="preserve">risk </w:t>
      </w:r>
      <w:r w:rsidRPr="000E67C3">
        <w:rPr>
          <w:color w:val="000000" w:themeColor="text1"/>
          <w:szCs w:val="24"/>
        </w:rPr>
        <w:t xml:space="preserve">sKr düzeyinin bazal kreatinin düzeyine göre </w:t>
      </w:r>
      <m:oMath>
        <m:r>
          <m:rPr>
            <m:sty m:val="p"/>
          </m:rPr>
          <w:rPr>
            <w:rFonts w:ascii="Cambria Math" w:hAnsi="Cambria Math"/>
            <w:color w:val="000000" w:themeColor="text1"/>
            <w:szCs w:val="24"/>
          </w:rPr>
          <m:t>≥</m:t>
        </m:r>
      </m:oMath>
      <w:r w:rsidRPr="000E67C3">
        <w:rPr>
          <w:color w:val="000000" w:themeColor="text1"/>
          <w:szCs w:val="24"/>
        </w:rPr>
        <w:t xml:space="preserve">1,5 ve ≤2 kat artışı ya da diürez miktarının 6 saat boyunca 0,5ml/kg/saat altında seyretmesi ya da GFH’de &gt;%25 azalma olması; </w:t>
      </w:r>
      <w:r w:rsidRPr="000E67C3">
        <w:rPr>
          <w:b/>
          <w:color w:val="000000" w:themeColor="text1"/>
          <w:szCs w:val="24"/>
        </w:rPr>
        <w:t>hasar</w:t>
      </w:r>
      <w:r w:rsidRPr="000E67C3">
        <w:rPr>
          <w:color w:val="000000" w:themeColor="text1"/>
          <w:szCs w:val="24"/>
        </w:rPr>
        <w:t xml:space="preserve"> sKr düzeyinin </w:t>
      </w:r>
      <m:oMath>
        <m:r>
          <w:rPr>
            <w:rFonts w:ascii="Cambria Math" w:hAnsi="Cambria Math"/>
            <w:color w:val="000000" w:themeColor="text1"/>
            <w:szCs w:val="24"/>
          </w:rPr>
          <m:t>&gt;</m:t>
        </m:r>
      </m:oMath>
      <w:r w:rsidRPr="000E67C3">
        <w:rPr>
          <w:color w:val="000000" w:themeColor="text1"/>
          <w:szCs w:val="24"/>
        </w:rPr>
        <w:t>2  ve ≤3 kat artışı ya da idrar çıkışının 12 saat süreyle 0,5ml/kg/saat altında olması, ya da GFH’de &gt; %50 azalma olması</w:t>
      </w:r>
      <w:r w:rsidRPr="000E67C3">
        <w:rPr>
          <w:iCs/>
          <w:color w:val="000000" w:themeColor="text1"/>
          <w:szCs w:val="24"/>
        </w:rPr>
        <w:t xml:space="preserve">; </w:t>
      </w:r>
      <w:r w:rsidRPr="000E67C3">
        <w:rPr>
          <w:b/>
          <w:bCs/>
          <w:color w:val="000000" w:themeColor="text1"/>
          <w:szCs w:val="24"/>
        </w:rPr>
        <w:t>yetmezlik</w:t>
      </w:r>
      <w:r w:rsidRPr="000E67C3">
        <w:rPr>
          <w:color w:val="000000" w:themeColor="text1"/>
          <w:szCs w:val="24"/>
        </w:rPr>
        <w:t xml:space="preserve"> sKr düzeyinin </w:t>
      </w:r>
      <m:oMath>
        <m:r>
          <w:rPr>
            <w:rFonts w:ascii="Cambria Math" w:hAnsi="Cambria Math"/>
            <w:color w:val="000000" w:themeColor="text1"/>
            <w:szCs w:val="24"/>
          </w:rPr>
          <m:t>&gt;</m:t>
        </m:r>
      </m:oMath>
      <w:r w:rsidRPr="000E67C3">
        <w:rPr>
          <w:color w:val="000000" w:themeColor="text1"/>
          <w:szCs w:val="24"/>
        </w:rPr>
        <w:t>3 kat artışı ya da sKr düzeyinin ≥4mg/dl olması ve bununla birlikte sKr düzeyinde ≥0,5 mg/dl ani artış ya da dürez miktarının 24 saat boyunca 0,3 ml/kg/saat altında seyretmesi ya da 12 saat süreyle anüri olması ya da GFH’de &gt;%75 azalma olması;</w:t>
      </w:r>
      <w:r w:rsidRPr="000E67C3">
        <w:rPr>
          <w:b/>
          <w:bCs/>
          <w:color w:val="000000" w:themeColor="text1"/>
          <w:szCs w:val="24"/>
        </w:rPr>
        <w:t xml:space="preserve"> kayıp</w:t>
      </w:r>
      <w:r w:rsidRPr="000E67C3">
        <w:rPr>
          <w:color w:val="000000" w:themeColor="text1"/>
          <w:szCs w:val="24"/>
        </w:rPr>
        <w:t xml:space="preserve"> 4 haftadan uzun süren renal fonksiyonun tam kaybı; </w:t>
      </w:r>
      <w:r w:rsidRPr="000E67C3">
        <w:rPr>
          <w:b/>
          <w:bCs/>
          <w:iCs/>
          <w:color w:val="000000" w:themeColor="text1"/>
          <w:szCs w:val="24"/>
        </w:rPr>
        <w:t xml:space="preserve"> </w:t>
      </w:r>
      <w:r w:rsidRPr="000E67C3">
        <w:rPr>
          <w:b/>
          <w:bCs/>
          <w:color w:val="000000" w:themeColor="text1"/>
          <w:szCs w:val="24"/>
        </w:rPr>
        <w:t>son dönem böbrek yetmezliği</w:t>
      </w:r>
      <w:r w:rsidRPr="000E67C3">
        <w:rPr>
          <w:b/>
          <w:bCs/>
          <w:iCs/>
          <w:color w:val="000000" w:themeColor="text1"/>
          <w:szCs w:val="24"/>
        </w:rPr>
        <w:t xml:space="preserve"> </w:t>
      </w:r>
      <w:r w:rsidRPr="000E67C3">
        <w:rPr>
          <w:color w:val="000000" w:themeColor="text1"/>
          <w:szCs w:val="24"/>
        </w:rPr>
        <w:t xml:space="preserve">3 aydan fazla süren renal fonksiyonun tam kaybı olarak tanımlanmaktadır (Tablo 2.6) (47). Tanımlamadan anlaşıldığı üzere RIFLE sınıflamasında bazale göre sKr artışında zamanlama net değildir, ayrıca klinik sonucun değerlendirilmesi için en az 3 ay takip gerekmektedir. </w:t>
      </w:r>
    </w:p>
    <w:p w:rsidR="000E67C3" w:rsidRPr="000E67C3" w:rsidRDefault="000E67C3" w:rsidP="000E67C3">
      <w:pPr>
        <w:autoSpaceDE w:val="0"/>
        <w:autoSpaceDN w:val="0"/>
        <w:adjustRightInd w:val="0"/>
        <w:rPr>
          <w:color w:val="000000" w:themeColor="text1"/>
          <w:szCs w:val="24"/>
        </w:rPr>
      </w:pPr>
    </w:p>
    <w:p w:rsidR="000E67C3" w:rsidRPr="000E67C3" w:rsidRDefault="000E67C3" w:rsidP="000E67C3">
      <w:pPr>
        <w:autoSpaceDE w:val="0"/>
        <w:autoSpaceDN w:val="0"/>
        <w:adjustRightInd w:val="0"/>
        <w:rPr>
          <w:color w:val="000000" w:themeColor="text1"/>
          <w:szCs w:val="24"/>
        </w:rPr>
      </w:pPr>
    </w:p>
    <w:p w:rsidR="00FF149C" w:rsidRDefault="00FF149C">
      <w:pPr>
        <w:jc w:val="left"/>
        <w:rPr>
          <w:b/>
          <w:color w:val="000000" w:themeColor="text1"/>
          <w:szCs w:val="24"/>
        </w:rPr>
      </w:pPr>
      <w:r>
        <w:rPr>
          <w:b/>
          <w:color w:val="000000" w:themeColor="text1"/>
          <w:szCs w:val="24"/>
        </w:rPr>
        <w:br w:type="page"/>
      </w:r>
    </w:p>
    <w:p w:rsidR="000E67C3" w:rsidRPr="000E67C3" w:rsidRDefault="00FF149C" w:rsidP="00FF149C">
      <w:pPr>
        <w:pStyle w:val="ResimYazs"/>
        <w:rPr>
          <w:b w:val="0"/>
          <w:color w:val="000000" w:themeColor="text1"/>
          <w:szCs w:val="24"/>
        </w:rPr>
      </w:pPr>
      <w:bookmarkStart w:id="30" w:name="_Toc459713110"/>
      <w:r>
        <w:lastRenderedPageBreak/>
        <w:t xml:space="preserve">Tablo </w:t>
      </w:r>
      <w:r w:rsidR="001715F4">
        <w:t>2</w:t>
      </w:r>
      <w:r w:rsidR="00382CFB">
        <w:t>.</w:t>
      </w:r>
      <w:r w:rsidR="00C57A06">
        <w:fldChar w:fldCharType="begin"/>
      </w:r>
      <w:r w:rsidR="00353523">
        <w:instrText xml:space="preserve"> SEQ Tablo \* ARABIC \s 1 </w:instrText>
      </w:r>
      <w:r w:rsidR="00C57A06">
        <w:fldChar w:fldCharType="separate"/>
      </w:r>
      <w:r w:rsidR="001C364D">
        <w:rPr>
          <w:noProof/>
        </w:rPr>
        <w:t>6</w:t>
      </w:r>
      <w:r w:rsidR="00C57A06">
        <w:rPr>
          <w:noProof/>
        </w:rPr>
        <w:fldChar w:fldCharType="end"/>
      </w:r>
      <w:r>
        <w:t xml:space="preserve">. </w:t>
      </w:r>
      <w:r w:rsidR="000E67C3" w:rsidRPr="000E67C3">
        <w:rPr>
          <w:b w:val="0"/>
          <w:color w:val="000000" w:themeColor="text1"/>
          <w:szCs w:val="24"/>
        </w:rPr>
        <w:t>RIFLE Kriterleri</w:t>
      </w:r>
      <w:bookmarkEnd w:id="30"/>
    </w:p>
    <w:tbl>
      <w:tblPr>
        <w:tblStyle w:val="TabloKlavuzu"/>
        <w:tblW w:w="4884" w:type="pct"/>
        <w:tblInd w:w="108" w:type="dxa"/>
        <w:tblLook w:val="04A0"/>
      </w:tblPr>
      <w:tblGrid>
        <w:gridCol w:w="1527"/>
        <w:gridCol w:w="2872"/>
        <w:gridCol w:w="1560"/>
        <w:gridCol w:w="2835"/>
      </w:tblGrid>
      <w:tr w:rsidR="000E67C3" w:rsidRPr="000E67C3" w:rsidTr="00FF149C">
        <w:tc>
          <w:tcPr>
            <w:tcW w:w="868" w:type="pct"/>
            <w:tcBorders>
              <w:top w:val="single" w:sz="18" w:space="0" w:color="auto"/>
              <w:left w:val="nil"/>
              <w:bottom w:val="single" w:sz="18" w:space="0" w:color="auto"/>
            </w:tcBorders>
            <w:vAlign w:val="center"/>
          </w:tcPr>
          <w:p w:rsidR="000E67C3" w:rsidRPr="000E67C3" w:rsidRDefault="000E67C3" w:rsidP="009C6BB2">
            <w:pPr>
              <w:autoSpaceDE w:val="0"/>
              <w:autoSpaceDN w:val="0"/>
              <w:adjustRightInd w:val="0"/>
              <w:jc w:val="center"/>
              <w:rPr>
                <w:b/>
                <w:color w:val="000000" w:themeColor="text1"/>
                <w:szCs w:val="24"/>
              </w:rPr>
            </w:pPr>
            <w:r w:rsidRPr="000E67C3">
              <w:rPr>
                <w:b/>
                <w:color w:val="000000" w:themeColor="text1"/>
                <w:szCs w:val="24"/>
              </w:rPr>
              <w:t>Evre</w:t>
            </w:r>
          </w:p>
        </w:tc>
        <w:tc>
          <w:tcPr>
            <w:tcW w:w="1633" w:type="pct"/>
            <w:tcBorders>
              <w:top w:val="single" w:sz="18" w:space="0" w:color="auto"/>
              <w:bottom w:val="single" w:sz="18" w:space="0" w:color="auto"/>
            </w:tcBorders>
            <w:vAlign w:val="center"/>
          </w:tcPr>
          <w:p w:rsidR="000E67C3" w:rsidRPr="000E67C3" w:rsidRDefault="000E67C3" w:rsidP="009C6BB2">
            <w:pPr>
              <w:autoSpaceDE w:val="0"/>
              <w:autoSpaceDN w:val="0"/>
              <w:adjustRightInd w:val="0"/>
              <w:jc w:val="center"/>
              <w:rPr>
                <w:b/>
                <w:color w:val="000000" w:themeColor="text1"/>
                <w:szCs w:val="24"/>
              </w:rPr>
            </w:pPr>
            <w:r w:rsidRPr="000E67C3">
              <w:rPr>
                <w:b/>
                <w:color w:val="000000" w:themeColor="text1"/>
                <w:szCs w:val="24"/>
              </w:rPr>
              <w:t>Serum kreatinin kriteri</w:t>
            </w:r>
          </w:p>
        </w:tc>
        <w:tc>
          <w:tcPr>
            <w:tcW w:w="887" w:type="pct"/>
            <w:tcBorders>
              <w:top w:val="single" w:sz="18" w:space="0" w:color="auto"/>
              <w:bottom w:val="single" w:sz="18" w:space="0" w:color="auto"/>
            </w:tcBorders>
            <w:vAlign w:val="center"/>
          </w:tcPr>
          <w:p w:rsidR="000E67C3" w:rsidRPr="000E67C3" w:rsidRDefault="000E67C3" w:rsidP="009C6BB2">
            <w:pPr>
              <w:autoSpaceDE w:val="0"/>
              <w:autoSpaceDN w:val="0"/>
              <w:adjustRightInd w:val="0"/>
              <w:jc w:val="center"/>
              <w:rPr>
                <w:b/>
                <w:color w:val="000000" w:themeColor="text1"/>
                <w:szCs w:val="24"/>
              </w:rPr>
            </w:pPr>
            <w:r w:rsidRPr="000E67C3">
              <w:rPr>
                <w:b/>
                <w:color w:val="000000" w:themeColor="text1"/>
                <w:szCs w:val="24"/>
              </w:rPr>
              <w:t>GFH</w:t>
            </w:r>
          </w:p>
          <w:p w:rsidR="000E67C3" w:rsidRPr="000E67C3" w:rsidRDefault="000E67C3" w:rsidP="009C6BB2">
            <w:pPr>
              <w:autoSpaceDE w:val="0"/>
              <w:autoSpaceDN w:val="0"/>
              <w:adjustRightInd w:val="0"/>
              <w:jc w:val="center"/>
              <w:rPr>
                <w:b/>
                <w:color w:val="000000" w:themeColor="text1"/>
                <w:szCs w:val="24"/>
              </w:rPr>
            </w:pPr>
            <w:r w:rsidRPr="000E67C3">
              <w:rPr>
                <w:b/>
                <w:color w:val="000000" w:themeColor="text1"/>
                <w:szCs w:val="24"/>
              </w:rPr>
              <w:t>Kriteri</w:t>
            </w:r>
          </w:p>
        </w:tc>
        <w:tc>
          <w:tcPr>
            <w:tcW w:w="1612" w:type="pct"/>
            <w:tcBorders>
              <w:top w:val="single" w:sz="18" w:space="0" w:color="auto"/>
              <w:bottom w:val="single" w:sz="18" w:space="0" w:color="auto"/>
              <w:right w:val="nil"/>
            </w:tcBorders>
            <w:vAlign w:val="center"/>
          </w:tcPr>
          <w:p w:rsidR="000E67C3" w:rsidRPr="000E67C3" w:rsidRDefault="000E67C3" w:rsidP="009C6BB2">
            <w:pPr>
              <w:autoSpaceDE w:val="0"/>
              <w:autoSpaceDN w:val="0"/>
              <w:adjustRightInd w:val="0"/>
              <w:jc w:val="center"/>
              <w:rPr>
                <w:b/>
                <w:color w:val="000000" w:themeColor="text1"/>
                <w:szCs w:val="24"/>
              </w:rPr>
            </w:pPr>
            <w:r w:rsidRPr="000E67C3">
              <w:rPr>
                <w:b/>
                <w:color w:val="000000" w:themeColor="text1"/>
                <w:szCs w:val="24"/>
              </w:rPr>
              <w:t>İdrar Kriteri</w:t>
            </w:r>
          </w:p>
        </w:tc>
      </w:tr>
      <w:tr w:rsidR="000E67C3" w:rsidRPr="000E67C3" w:rsidTr="00FF149C">
        <w:trPr>
          <w:trHeight w:val="932"/>
        </w:trPr>
        <w:tc>
          <w:tcPr>
            <w:tcW w:w="868" w:type="pct"/>
            <w:tcBorders>
              <w:top w:val="single" w:sz="18" w:space="0" w:color="auto"/>
              <w:left w:val="nil"/>
              <w:bottom w:val="nil"/>
              <w:right w:val="nil"/>
            </w:tcBorders>
          </w:tcPr>
          <w:p w:rsidR="000E67C3" w:rsidRPr="000E67C3" w:rsidRDefault="000E67C3" w:rsidP="009C6BB2">
            <w:pPr>
              <w:autoSpaceDE w:val="0"/>
              <w:autoSpaceDN w:val="0"/>
              <w:adjustRightInd w:val="0"/>
              <w:rPr>
                <w:color w:val="000000" w:themeColor="text1"/>
                <w:szCs w:val="24"/>
              </w:rPr>
            </w:pPr>
            <w:r w:rsidRPr="000E67C3">
              <w:rPr>
                <w:color w:val="000000" w:themeColor="text1"/>
                <w:szCs w:val="24"/>
              </w:rPr>
              <w:t>Risk</w:t>
            </w:r>
          </w:p>
          <w:p w:rsidR="000E67C3" w:rsidRPr="000E67C3" w:rsidRDefault="000E67C3" w:rsidP="009C6BB2">
            <w:pPr>
              <w:autoSpaceDE w:val="0"/>
              <w:autoSpaceDN w:val="0"/>
              <w:adjustRightInd w:val="0"/>
              <w:rPr>
                <w:color w:val="000000" w:themeColor="text1"/>
                <w:szCs w:val="24"/>
              </w:rPr>
            </w:pPr>
            <w:r w:rsidRPr="000E67C3">
              <w:rPr>
                <w:color w:val="000000" w:themeColor="text1"/>
                <w:szCs w:val="24"/>
              </w:rPr>
              <w:t>(</w:t>
            </w:r>
            <w:r w:rsidRPr="000E67C3">
              <w:rPr>
                <w:b/>
                <w:color w:val="000000" w:themeColor="text1"/>
                <w:szCs w:val="24"/>
              </w:rPr>
              <w:t>R</w:t>
            </w:r>
            <w:r w:rsidRPr="000E67C3">
              <w:rPr>
                <w:color w:val="000000" w:themeColor="text1"/>
                <w:szCs w:val="24"/>
              </w:rPr>
              <w:t>isk)</w:t>
            </w:r>
          </w:p>
        </w:tc>
        <w:tc>
          <w:tcPr>
            <w:tcW w:w="1633" w:type="pct"/>
            <w:tcBorders>
              <w:top w:val="single" w:sz="18" w:space="0" w:color="auto"/>
              <w:left w:val="nil"/>
              <w:bottom w:val="nil"/>
              <w:right w:val="nil"/>
            </w:tcBorders>
          </w:tcPr>
          <w:p w:rsidR="000E67C3" w:rsidRPr="000E67C3" w:rsidRDefault="000E67C3" w:rsidP="009C6BB2">
            <w:pPr>
              <w:autoSpaceDE w:val="0"/>
              <w:autoSpaceDN w:val="0"/>
              <w:adjustRightInd w:val="0"/>
              <w:rPr>
                <w:color w:val="000000" w:themeColor="text1"/>
                <w:szCs w:val="24"/>
              </w:rPr>
            </w:pPr>
            <w:r w:rsidRPr="000E67C3">
              <w:rPr>
                <w:color w:val="000000" w:themeColor="text1"/>
                <w:szCs w:val="24"/>
              </w:rPr>
              <w:t>1.5 kat yükselme</w:t>
            </w:r>
          </w:p>
        </w:tc>
        <w:tc>
          <w:tcPr>
            <w:tcW w:w="887" w:type="pct"/>
            <w:tcBorders>
              <w:top w:val="single" w:sz="18" w:space="0" w:color="auto"/>
              <w:left w:val="nil"/>
              <w:bottom w:val="nil"/>
              <w:right w:val="nil"/>
            </w:tcBorders>
            <w:vAlign w:val="center"/>
          </w:tcPr>
          <w:p w:rsidR="000E67C3" w:rsidRPr="000E67C3" w:rsidRDefault="000E67C3" w:rsidP="00FF149C">
            <w:pPr>
              <w:autoSpaceDE w:val="0"/>
              <w:autoSpaceDN w:val="0"/>
              <w:adjustRightInd w:val="0"/>
              <w:jc w:val="left"/>
              <w:rPr>
                <w:color w:val="000000" w:themeColor="text1"/>
                <w:szCs w:val="24"/>
              </w:rPr>
            </w:pPr>
            <w:r w:rsidRPr="000E67C3">
              <w:rPr>
                <w:color w:val="000000" w:themeColor="text1"/>
                <w:szCs w:val="24"/>
              </w:rPr>
              <w:t>%25' ten fazla</w:t>
            </w:r>
          </w:p>
        </w:tc>
        <w:tc>
          <w:tcPr>
            <w:tcW w:w="1612" w:type="pct"/>
            <w:tcBorders>
              <w:top w:val="single" w:sz="18" w:space="0" w:color="auto"/>
              <w:left w:val="nil"/>
              <w:bottom w:val="nil"/>
              <w:right w:val="nil"/>
            </w:tcBorders>
          </w:tcPr>
          <w:p w:rsidR="000E67C3" w:rsidRPr="000E67C3" w:rsidRDefault="000E67C3" w:rsidP="00FF149C">
            <w:pPr>
              <w:autoSpaceDE w:val="0"/>
              <w:autoSpaceDN w:val="0"/>
              <w:adjustRightInd w:val="0"/>
              <w:jc w:val="left"/>
              <w:rPr>
                <w:color w:val="000000" w:themeColor="text1"/>
                <w:szCs w:val="24"/>
              </w:rPr>
            </w:pPr>
            <w:r w:rsidRPr="000E67C3">
              <w:rPr>
                <w:color w:val="000000" w:themeColor="text1"/>
                <w:szCs w:val="24"/>
              </w:rPr>
              <w:t>6 saatten daha uzun idrar çıkışı 0.5 ml/kg'dan düşük</w:t>
            </w:r>
          </w:p>
        </w:tc>
      </w:tr>
      <w:tr w:rsidR="000E67C3" w:rsidRPr="000E67C3" w:rsidTr="00FF149C">
        <w:trPr>
          <w:trHeight w:val="960"/>
        </w:trPr>
        <w:tc>
          <w:tcPr>
            <w:tcW w:w="868" w:type="pct"/>
            <w:tcBorders>
              <w:top w:val="nil"/>
              <w:left w:val="nil"/>
              <w:bottom w:val="nil"/>
              <w:right w:val="nil"/>
            </w:tcBorders>
          </w:tcPr>
          <w:p w:rsidR="000E67C3" w:rsidRPr="000E67C3" w:rsidRDefault="000E67C3" w:rsidP="009C6BB2">
            <w:pPr>
              <w:autoSpaceDE w:val="0"/>
              <w:autoSpaceDN w:val="0"/>
              <w:adjustRightInd w:val="0"/>
              <w:rPr>
                <w:color w:val="000000" w:themeColor="text1"/>
                <w:szCs w:val="24"/>
              </w:rPr>
            </w:pPr>
            <w:r w:rsidRPr="000E67C3">
              <w:rPr>
                <w:color w:val="000000" w:themeColor="text1"/>
                <w:szCs w:val="24"/>
              </w:rPr>
              <w:t>Hasar</w:t>
            </w:r>
          </w:p>
          <w:p w:rsidR="000E67C3" w:rsidRPr="000E67C3" w:rsidRDefault="000E67C3" w:rsidP="009C6BB2">
            <w:pPr>
              <w:autoSpaceDE w:val="0"/>
              <w:autoSpaceDN w:val="0"/>
              <w:adjustRightInd w:val="0"/>
              <w:rPr>
                <w:color w:val="000000" w:themeColor="text1"/>
                <w:szCs w:val="24"/>
              </w:rPr>
            </w:pPr>
            <w:r w:rsidRPr="000E67C3">
              <w:rPr>
                <w:color w:val="000000" w:themeColor="text1"/>
                <w:szCs w:val="24"/>
              </w:rPr>
              <w:t>(</w:t>
            </w:r>
            <w:r w:rsidRPr="000E67C3">
              <w:rPr>
                <w:b/>
                <w:color w:val="000000" w:themeColor="text1"/>
                <w:szCs w:val="24"/>
              </w:rPr>
              <w:t>I</w:t>
            </w:r>
            <w:r w:rsidRPr="000E67C3">
              <w:rPr>
                <w:color w:val="000000" w:themeColor="text1"/>
                <w:szCs w:val="24"/>
              </w:rPr>
              <w:t xml:space="preserve">njury) </w:t>
            </w:r>
          </w:p>
        </w:tc>
        <w:tc>
          <w:tcPr>
            <w:tcW w:w="1633" w:type="pct"/>
            <w:tcBorders>
              <w:top w:val="nil"/>
              <w:left w:val="nil"/>
              <w:bottom w:val="nil"/>
              <w:right w:val="nil"/>
            </w:tcBorders>
          </w:tcPr>
          <w:p w:rsidR="000E67C3" w:rsidRPr="000E67C3" w:rsidRDefault="000E67C3" w:rsidP="009C6BB2">
            <w:pPr>
              <w:autoSpaceDE w:val="0"/>
              <w:autoSpaceDN w:val="0"/>
              <w:adjustRightInd w:val="0"/>
              <w:rPr>
                <w:color w:val="000000" w:themeColor="text1"/>
                <w:szCs w:val="24"/>
              </w:rPr>
            </w:pPr>
            <w:r w:rsidRPr="000E67C3">
              <w:rPr>
                <w:color w:val="000000" w:themeColor="text1"/>
                <w:szCs w:val="24"/>
              </w:rPr>
              <w:t>2 kat yükselme</w:t>
            </w:r>
          </w:p>
        </w:tc>
        <w:tc>
          <w:tcPr>
            <w:tcW w:w="887" w:type="pct"/>
            <w:tcBorders>
              <w:top w:val="nil"/>
              <w:left w:val="nil"/>
              <w:bottom w:val="nil"/>
              <w:right w:val="nil"/>
            </w:tcBorders>
            <w:vAlign w:val="center"/>
          </w:tcPr>
          <w:p w:rsidR="000E67C3" w:rsidRPr="000E67C3" w:rsidRDefault="000E67C3" w:rsidP="00FF149C">
            <w:pPr>
              <w:autoSpaceDE w:val="0"/>
              <w:autoSpaceDN w:val="0"/>
              <w:adjustRightInd w:val="0"/>
              <w:jc w:val="left"/>
              <w:rPr>
                <w:color w:val="000000" w:themeColor="text1"/>
                <w:szCs w:val="24"/>
              </w:rPr>
            </w:pPr>
            <w:r w:rsidRPr="000E67C3">
              <w:rPr>
                <w:color w:val="000000" w:themeColor="text1"/>
                <w:szCs w:val="24"/>
              </w:rPr>
              <w:t>%50'den fazla</w:t>
            </w:r>
          </w:p>
        </w:tc>
        <w:tc>
          <w:tcPr>
            <w:tcW w:w="1612" w:type="pct"/>
            <w:tcBorders>
              <w:top w:val="nil"/>
              <w:left w:val="nil"/>
              <w:bottom w:val="nil"/>
              <w:right w:val="nil"/>
            </w:tcBorders>
          </w:tcPr>
          <w:p w:rsidR="000E67C3" w:rsidRPr="000E67C3" w:rsidRDefault="000E67C3" w:rsidP="00FF149C">
            <w:pPr>
              <w:autoSpaceDE w:val="0"/>
              <w:autoSpaceDN w:val="0"/>
              <w:adjustRightInd w:val="0"/>
              <w:jc w:val="left"/>
              <w:rPr>
                <w:color w:val="000000" w:themeColor="text1"/>
                <w:szCs w:val="24"/>
              </w:rPr>
            </w:pPr>
            <w:r w:rsidRPr="000E67C3">
              <w:rPr>
                <w:color w:val="000000" w:themeColor="text1"/>
                <w:szCs w:val="24"/>
              </w:rPr>
              <w:t>12 saatten daha uzun idrar çıkışı 0.5 ml/kg'dan düşük</w:t>
            </w:r>
          </w:p>
        </w:tc>
      </w:tr>
      <w:tr w:rsidR="000E67C3" w:rsidRPr="000E67C3" w:rsidTr="00FF149C">
        <w:trPr>
          <w:trHeight w:val="1741"/>
        </w:trPr>
        <w:tc>
          <w:tcPr>
            <w:tcW w:w="868" w:type="pct"/>
            <w:tcBorders>
              <w:top w:val="nil"/>
              <w:left w:val="nil"/>
              <w:bottom w:val="nil"/>
              <w:right w:val="nil"/>
            </w:tcBorders>
          </w:tcPr>
          <w:p w:rsidR="000E67C3" w:rsidRPr="000E67C3" w:rsidRDefault="000E67C3" w:rsidP="009C6BB2">
            <w:pPr>
              <w:autoSpaceDE w:val="0"/>
              <w:autoSpaceDN w:val="0"/>
              <w:adjustRightInd w:val="0"/>
              <w:rPr>
                <w:color w:val="000000" w:themeColor="text1"/>
                <w:szCs w:val="24"/>
              </w:rPr>
            </w:pPr>
            <w:r w:rsidRPr="000E67C3">
              <w:rPr>
                <w:color w:val="000000" w:themeColor="text1"/>
                <w:szCs w:val="24"/>
              </w:rPr>
              <w:t>Yetmezlik</w:t>
            </w:r>
          </w:p>
          <w:p w:rsidR="000E67C3" w:rsidRPr="000E67C3" w:rsidRDefault="000E67C3" w:rsidP="009C6BB2">
            <w:pPr>
              <w:autoSpaceDE w:val="0"/>
              <w:autoSpaceDN w:val="0"/>
              <w:adjustRightInd w:val="0"/>
              <w:rPr>
                <w:color w:val="000000" w:themeColor="text1"/>
                <w:szCs w:val="24"/>
              </w:rPr>
            </w:pPr>
            <w:r w:rsidRPr="000E67C3">
              <w:rPr>
                <w:color w:val="000000" w:themeColor="text1"/>
                <w:szCs w:val="24"/>
              </w:rPr>
              <w:t>(</w:t>
            </w:r>
            <w:r w:rsidRPr="000E67C3">
              <w:rPr>
                <w:b/>
                <w:color w:val="000000" w:themeColor="text1"/>
                <w:szCs w:val="24"/>
              </w:rPr>
              <w:t>F</w:t>
            </w:r>
            <w:r w:rsidRPr="000E67C3">
              <w:rPr>
                <w:color w:val="000000" w:themeColor="text1"/>
                <w:szCs w:val="24"/>
              </w:rPr>
              <w:t>ailure)</w:t>
            </w:r>
          </w:p>
        </w:tc>
        <w:tc>
          <w:tcPr>
            <w:tcW w:w="1633" w:type="pct"/>
            <w:tcBorders>
              <w:top w:val="nil"/>
              <w:left w:val="nil"/>
              <w:bottom w:val="nil"/>
              <w:right w:val="nil"/>
            </w:tcBorders>
          </w:tcPr>
          <w:p w:rsidR="000E67C3" w:rsidRPr="000E67C3" w:rsidRDefault="000E67C3" w:rsidP="00FF149C">
            <w:pPr>
              <w:autoSpaceDE w:val="0"/>
              <w:autoSpaceDN w:val="0"/>
              <w:adjustRightInd w:val="0"/>
              <w:jc w:val="left"/>
              <w:rPr>
                <w:color w:val="000000" w:themeColor="text1"/>
                <w:szCs w:val="24"/>
              </w:rPr>
            </w:pPr>
            <w:r w:rsidRPr="000E67C3">
              <w:rPr>
                <w:color w:val="000000" w:themeColor="text1"/>
                <w:szCs w:val="24"/>
              </w:rPr>
              <w:t>3 kat yükselme veya serum kreatinini 4 mg/dl'a eşit ya da üzerindeyken en az 0.5 mg/dl artış</w:t>
            </w:r>
          </w:p>
        </w:tc>
        <w:tc>
          <w:tcPr>
            <w:tcW w:w="887" w:type="pct"/>
            <w:tcBorders>
              <w:top w:val="nil"/>
              <w:left w:val="nil"/>
              <w:bottom w:val="nil"/>
              <w:right w:val="nil"/>
            </w:tcBorders>
          </w:tcPr>
          <w:p w:rsidR="000E67C3" w:rsidRPr="000E67C3" w:rsidRDefault="000E67C3" w:rsidP="009C6BB2">
            <w:pPr>
              <w:autoSpaceDE w:val="0"/>
              <w:autoSpaceDN w:val="0"/>
              <w:adjustRightInd w:val="0"/>
              <w:rPr>
                <w:color w:val="000000" w:themeColor="text1"/>
                <w:szCs w:val="24"/>
              </w:rPr>
            </w:pPr>
            <w:r w:rsidRPr="000E67C3">
              <w:rPr>
                <w:color w:val="000000" w:themeColor="text1"/>
                <w:szCs w:val="24"/>
              </w:rPr>
              <w:t>%75'ten fazla</w:t>
            </w:r>
          </w:p>
        </w:tc>
        <w:tc>
          <w:tcPr>
            <w:tcW w:w="1612" w:type="pct"/>
            <w:tcBorders>
              <w:top w:val="nil"/>
              <w:left w:val="nil"/>
              <w:bottom w:val="nil"/>
              <w:right w:val="nil"/>
            </w:tcBorders>
          </w:tcPr>
          <w:p w:rsidR="000E67C3" w:rsidRPr="000E67C3" w:rsidRDefault="000E67C3" w:rsidP="00FF149C">
            <w:pPr>
              <w:autoSpaceDE w:val="0"/>
              <w:autoSpaceDN w:val="0"/>
              <w:adjustRightInd w:val="0"/>
              <w:jc w:val="left"/>
              <w:rPr>
                <w:color w:val="000000" w:themeColor="text1"/>
                <w:szCs w:val="24"/>
              </w:rPr>
            </w:pPr>
            <w:r w:rsidRPr="000E67C3">
              <w:rPr>
                <w:color w:val="000000" w:themeColor="text1"/>
                <w:szCs w:val="24"/>
              </w:rPr>
              <w:t>24 saatten daha uzun idrar çıkışı 0.3 ml/kg'dan düşük veya;</w:t>
            </w:r>
            <w:r w:rsidR="00FF149C">
              <w:rPr>
                <w:color w:val="000000" w:themeColor="text1"/>
                <w:szCs w:val="24"/>
              </w:rPr>
              <w:t xml:space="preserve"> </w:t>
            </w:r>
            <w:r w:rsidRPr="000E67C3">
              <w:rPr>
                <w:color w:val="000000" w:themeColor="text1"/>
                <w:szCs w:val="24"/>
              </w:rPr>
              <w:t>12 saat boyunca</w:t>
            </w:r>
            <w:r w:rsidR="00FF149C">
              <w:rPr>
                <w:color w:val="000000" w:themeColor="text1"/>
                <w:szCs w:val="24"/>
              </w:rPr>
              <w:t xml:space="preserve"> </w:t>
            </w:r>
            <w:r w:rsidRPr="000E67C3">
              <w:rPr>
                <w:color w:val="000000" w:themeColor="text1"/>
                <w:szCs w:val="24"/>
              </w:rPr>
              <w:t>anüri</w:t>
            </w:r>
          </w:p>
        </w:tc>
      </w:tr>
      <w:tr w:rsidR="000E67C3" w:rsidRPr="000E67C3" w:rsidTr="00FF149C">
        <w:trPr>
          <w:trHeight w:val="1354"/>
        </w:trPr>
        <w:tc>
          <w:tcPr>
            <w:tcW w:w="868" w:type="pct"/>
            <w:tcBorders>
              <w:top w:val="nil"/>
              <w:left w:val="nil"/>
              <w:bottom w:val="nil"/>
              <w:right w:val="nil"/>
            </w:tcBorders>
          </w:tcPr>
          <w:p w:rsidR="000E67C3" w:rsidRPr="000E67C3" w:rsidRDefault="000E67C3" w:rsidP="009C6BB2">
            <w:pPr>
              <w:autoSpaceDE w:val="0"/>
              <w:autoSpaceDN w:val="0"/>
              <w:adjustRightInd w:val="0"/>
              <w:rPr>
                <w:color w:val="000000" w:themeColor="text1"/>
                <w:szCs w:val="24"/>
              </w:rPr>
            </w:pPr>
            <w:r w:rsidRPr="000E67C3">
              <w:rPr>
                <w:color w:val="000000" w:themeColor="text1"/>
                <w:szCs w:val="24"/>
              </w:rPr>
              <w:t>Kayıp</w:t>
            </w:r>
          </w:p>
          <w:p w:rsidR="000E67C3" w:rsidRPr="000E67C3" w:rsidRDefault="000E67C3" w:rsidP="009C6BB2">
            <w:pPr>
              <w:autoSpaceDE w:val="0"/>
              <w:autoSpaceDN w:val="0"/>
              <w:adjustRightInd w:val="0"/>
              <w:rPr>
                <w:color w:val="000000" w:themeColor="text1"/>
                <w:szCs w:val="24"/>
              </w:rPr>
            </w:pPr>
            <w:r w:rsidRPr="000E67C3">
              <w:rPr>
                <w:color w:val="000000" w:themeColor="text1"/>
                <w:szCs w:val="24"/>
              </w:rPr>
              <w:t>(</w:t>
            </w:r>
            <w:r w:rsidRPr="000E67C3">
              <w:rPr>
                <w:b/>
                <w:color w:val="000000" w:themeColor="text1"/>
                <w:szCs w:val="24"/>
              </w:rPr>
              <w:t>L</w:t>
            </w:r>
            <w:r w:rsidRPr="000E67C3">
              <w:rPr>
                <w:color w:val="000000" w:themeColor="text1"/>
                <w:szCs w:val="24"/>
              </w:rPr>
              <w:t>oss)</w:t>
            </w:r>
          </w:p>
        </w:tc>
        <w:tc>
          <w:tcPr>
            <w:tcW w:w="1633" w:type="pct"/>
            <w:tcBorders>
              <w:top w:val="nil"/>
              <w:left w:val="nil"/>
              <w:bottom w:val="nil"/>
              <w:right w:val="nil"/>
            </w:tcBorders>
            <w:vAlign w:val="center"/>
          </w:tcPr>
          <w:p w:rsidR="000E67C3" w:rsidRPr="000E67C3" w:rsidRDefault="000E67C3" w:rsidP="00FF149C">
            <w:pPr>
              <w:autoSpaceDE w:val="0"/>
              <w:autoSpaceDN w:val="0"/>
              <w:adjustRightInd w:val="0"/>
              <w:jc w:val="left"/>
              <w:rPr>
                <w:color w:val="000000" w:themeColor="text1"/>
                <w:szCs w:val="24"/>
              </w:rPr>
            </w:pPr>
            <w:r w:rsidRPr="000E67C3">
              <w:rPr>
                <w:color w:val="000000" w:themeColor="text1"/>
                <w:szCs w:val="24"/>
              </w:rPr>
              <w:t>4 haftadan uzun süren kalıcı böbrek işlev bozukluğu</w:t>
            </w:r>
          </w:p>
        </w:tc>
        <w:tc>
          <w:tcPr>
            <w:tcW w:w="887" w:type="pct"/>
            <w:tcBorders>
              <w:top w:val="nil"/>
              <w:left w:val="nil"/>
              <w:bottom w:val="nil"/>
              <w:right w:val="nil"/>
            </w:tcBorders>
          </w:tcPr>
          <w:p w:rsidR="000E67C3" w:rsidRPr="000E67C3" w:rsidRDefault="000E67C3" w:rsidP="009C6BB2">
            <w:pPr>
              <w:autoSpaceDE w:val="0"/>
              <w:autoSpaceDN w:val="0"/>
              <w:adjustRightInd w:val="0"/>
              <w:rPr>
                <w:color w:val="000000" w:themeColor="text1"/>
                <w:szCs w:val="24"/>
              </w:rPr>
            </w:pPr>
          </w:p>
        </w:tc>
        <w:tc>
          <w:tcPr>
            <w:tcW w:w="1612" w:type="pct"/>
            <w:tcBorders>
              <w:top w:val="nil"/>
              <w:left w:val="nil"/>
              <w:bottom w:val="nil"/>
              <w:right w:val="nil"/>
            </w:tcBorders>
          </w:tcPr>
          <w:p w:rsidR="000E67C3" w:rsidRPr="000E67C3" w:rsidRDefault="000E67C3" w:rsidP="009C6BB2">
            <w:pPr>
              <w:autoSpaceDE w:val="0"/>
              <w:autoSpaceDN w:val="0"/>
              <w:adjustRightInd w:val="0"/>
              <w:rPr>
                <w:color w:val="000000" w:themeColor="text1"/>
                <w:szCs w:val="24"/>
              </w:rPr>
            </w:pPr>
          </w:p>
        </w:tc>
      </w:tr>
      <w:tr w:rsidR="000E67C3" w:rsidRPr="000E67C3" w:rsidTr="00FF149C">
        <w:tc>
          <w:tcPr>
            <w:tcW w:w="868" w:type="pct"/>
            <w:tcBorders>
              <w:top w:val="nil"/>
              <w:left w:val="nil"/>
              <w:right w:val="nil"/>
            </w:tcBorders>
          </w:tcPr>
          <w:p w:rsidR="000E67C3" w:rsidRPr="000E67C3" w:rsidRDefault="000E67C3" w:rsidP="009C6BB2">
            <w:pPr>
              <w:autoSpaceDE w:val="0"/>
              <w:autoSpaceDN w:val="0"/>
              <w:adjustRightInd w:val="0"/>
              <w:rPr>
                <w:color w:val="000000" w:themeColor="text1"/>
                <w:szCs w:val="24"/>
              </w:rPr>
            </w:pPr>
            <w:r w:rsidRPr="000E67C3">
              <w:rPr>
                <w:color w:val="000000" w:themeColor="text1"/>
                <w:szCs w:val="24"/>
              </w:rPr>
              <w:t>Sondönem böbrek yetmezliği</w:t>
            </w:r>
          </w:p>
          <w:p w:rsidR="000E67C3" w:rsidRPr="000E67C3" w:rsidRDefault="000E67C3" w:rsidP="009C6BB2">
            <w:pPr>
              <w:autoSpaceDE w:val="0"/>
              <w:autoSpaceDN w:val="0"/>
              <w:adjustRightInd w:val="0"/>
              <w:rPr>
                <w:color w:val="000000" w:themeColor="text1"/>
                <w:szCs w:val="24"/>
              </w:rPr>
            </w:pPr>
            <w:r w:rsidRPr="000E67C3">
              <w:rPr>
                <w:color w:val="000000" w:themeColor="text1"/>
                <w:szCs w:val="24"/>
              </w:rPr>
              <w:t>(</w:t>
            </w:r>
            <w:r w:rsidRPr="000E67C3">
              <w:rPr>
                <w:b/>
                <w:color w:val="000000" w:themeColor="text1"/>
                <w:szCs w:val="24"/>
              </w:rPr>
              <w:t>E</w:t>
            </w:r>
            <w:r w:rsidRPr="000E67C3">
              <w:rPr>
                <w:color w:val="000000" w:themeColor="text1"/>
                <w:szCs w:val="24"/>
              </w:rPr>
              <w:t>SRD)</w:t>
            </w:r>
          </w:p>
        </w:tc>
        <w:tc>
          <w:tcPr>
            <w:tcW w:w="1633" w:type="pct"/>
            <w:tcBorders>
              <w:top w:val="nil"/>
              <w:left w:val="nil"/>
              <w:right w:val="nil"/>
            </w:tcBorders>
          </w:tcPr>
          <w:p w:rsidR="000E67C3" w:rsidRPr="000E67C3" w:rsidRDefault="000E67C3" w:rsidP="00FF149C">
            <w:pPr>
              <w:autoSpaceDE w:val="0"/>
              <w:autoSpaceDN w:val="0"/>
              <w:adjustRightInd w:val="0"/>
              <w:jc w:val="left"/>
              <w:rPr>
                <w:color w:val="000000" w:themeColor="text1"/>
                <w:szCs w:val="24"/>
              </w:rPr>
            </w:pPr>
            <w:r w:rsidRPr="000E67C3">
              <w:rPr>
                <w:color w:val="000000" w:themeColor="text1"/>
                <w:szCs w:val="24"/>
              </w:rPr>
              <w:t>3 aydan uzun süren hemodiyaliz bağımlılığı</w:t>
            </w:r>
          </w:p>
        </w:tc>
        <w:tc>
          <w:tcPr>
            <w:tcW w:w="887" w:type="pct"/>
            <w:tcBorders>
              <w:top w:val="nil"/>
              <w:left w:val="nil"/>
              <w:right w:val="nil"/>
            </w:tcBorders>
          </w:tcPr>
          <w:p w:rsidR="000E67C3" w:rsidRPr="000E67C3" w:rsidRDefault="000E67C3" w:rsidP="009C6BB2">
            <w:pPr>
              <w:autoSpaceDE w:val="0"/>
              <w:autoSpaceDN w:val="0"/>
              <w:adjustRightInd w:val="0"/>
              <w:rPr>
                <w:color w:val="000000" w:themeColor="text1"/>
                <w:szCs w:val="24"/>
              </w:rPr>
            </w:pPr>
          </w:p>
        </w:tc>
        <w:tc>
          <w:tcPr>
            <w:tcW w:w="1612" w:type="pct"/>
            <w:tcBorders>
              <w:top w:val="nil"/>
              <w:left w:val="nil"/>
              <w:right w:val="nil"/>
            </w:tcBorders>
          </w:tcPr>
          <w:p w:rsidR="000E67C3" w:rsidRPr="000E67C3" w:rsidRDefault="000E67C3" w:rsidP="009C6BB2">
            <w:pPr>
              <w:autoSpaceDE w:val="0"/>
              <w:autoSpaceDN w:val="0"/>
              <w:adjustRightInd w:val="0"/>
              <w:rPr>
                <w:color w:val="000000" w:themeColor="text1"/>
                <w:szCs w:val="24"/>
              </w:rPr>
            </w:pPr>
          </w:p>
        </w:tc>
      </w:tr>
    </w:tbl>
    <w:p w:rsidR="000E67C3" w:rsidRPr="000E67C3" w:rsidRDefault="000E67C3" w:rsidP="000E67C3">
      <w:pPr>
        <w:autoSpaceDE w:val="0"/>
        <w:autoSpaceDN w:val="0"/>
        <w:adjustRightInd w:val="0"/>
        <w:rPr>
          <w:color w:val="000000" w:themeColor="text1"/>
          <w:szCs w:val="24"/>
        </w:rPr>
      </w:pPr>
      <w:r w:rsidRPr="000E67C3">
        <w:rPr>
          <w:color w:val="000000" w:themeColor="text1"/>
          <w:szCs w:val="24"/>
        </w:rPr>
        <w:t xml:space="preserve">        </w:t>
      </w:r>
    </w:p>
    <w:p w:rsidR="000E67C3" w:rsidRPr="000E67C3" w:rsidRDefault="000E67C3" w:rsidP="00FF149C">
      <w:pPr>
        <w:pStyle w:val="Balk4"/>
      </w:pPr>
      <w:bookmarkStart w:id="31" w:name="_Toc459712409"/>
      <w:r w:rsidRPr="000E67C3">
        <w:t>2.3.1.2</w:t>
      </w:r>
      <w:r w:rsidR="00FF149C">
        <w:t>.</w:t>
      </w:r>
      <w:r w:rsidRPr="000E67C3">
        <w:t xml:space="preserve"> AKIN Kriterleri</w:t>
      </w:r>
      <w:bookmarkEnd w:id="31"/>
    </w:p>
    <w:p w:rsidR="000E67C3" w:rsidRPr="000E67C3" w:rsidRDefault="000E67C3" w:rsidP="000E67C3">
      <w:pPr>
        <w:autoSpaceDE w:val="0"/>
        <w:autoSpaceDN w:val="0"/>
        <w:adjustRightInd w:val="0"/>
        <w:rPr>
          <w:color w:val="000000" w:themeColor="text1"/>
          <w:szCs w:val="24"/>
        </w:rPr>
      </w:pPr>
      <w:r w:rsidRPr="000E67C3">
        <w:rPr>
          <w:iCs/>
          <w:color w:val="000000" w:themeColor="text1"/>
          <w:szCs w:val="24"/>
        </w:rPr>
        <w:tab/>
        <w:t xml:space="preserve">RIFLE </w:t>
      </w:r>
      <w:r w:rsidRPr="000E67C3">
        <w:rPr>
          <w:color w:val="000000" w:themeColor="text1"/>
          <w:szCs w:val="24"/>
        </w:rPr>
        <w:t xml:space="preserve">tanımlama sistemine göre daha duyarlı bir yöntem arayışıyla </w:t>
      </w:r>
      <w:r w:rsidRPr="000E67C3">
        <w:rPr>
          <w:iCs/>
          <w:color w:val="000000" w:themeColor="text1"/>
          <w:szCs w:val="24"/>
        </w:rPr>
        <w:t>Acute</w:t>
      </w:r>
      <w:r w:rsidRPr="000E67C3">
        <w:rPr>
          <w:color w:val="000000" w:themeColor="text1"/>
          <w:szCs w:val="24"/>
        </w:rPr>
        <w:t xml:space="preserve"> </w:t>
      </w:r>
      <w:r w:rsidRPr="000E67C3">
        <w:rPr>
          <w:iCs/>
          <w:color w:val="000000" w:themeColor="text1"/>
          <w:szCs w:val="24"/>
        </w:rPr>
        <w:t xml:space="preserve">Kidney Injury Network (AKIN) </w:t>
      </w:r>
      <w:r w:rsidRPr="000E67C3">
        <w:rPr>
          <w:color w:val="000000" w:themeColor="text1"/>
          <w:szCs w:val="24"/>
        </w:rPr>
        <w:t xml:space="preserve">tarafından geliştirilen AKIN sınıflamasında ABH şiddetini tanımlayan 3 evre vardır. AKIN kriterlerine göre </w:t>
      </w:r>
      <w:r w:rsidRPr="000E67C3">
        <w:rPr>
          <w:b/>
          <w:bCs/>
          <w:color w:val="000000" w:themeColor="text1"/>
          <w:szCs w:val="24"/>
        </w:rPr>
        <w:t>evre 1</w:t>
      </w:r>
      <w:r w:rsidRPr="000E67C3">
        <w:rPr>
          <w:color w:val="000000" w:themeColor="text1"/>
          <w:szCs w:val="24"/>
        </w:rPr>
        <w:t xml:space="preserve"> 48 saatte sKr düzeyinde </w:t>
      </w:r>
      <m:oMath>
        <m:r>
          <m:rPr>
            <m:sty m:val="p"/>
          </m:rPr>
          <w:rPr>
            <w:rFonts w:ascii="Cambria Math" w:hAnsi="Cambria Math"/>
            <w:color w:val="000000" w:themeColor="text1"/>
            <w:szCs w:val="24"/>
          </w:rPr>
          <m:t>≥</m:t>
        </m:r>
      </m:oMath>
      <w:r w:rsidRPr="000E67C3">
        <w:rPr>
          <w:color w:val="000000" w:themeColor="text1"/>
          <w:szCs w:val="24"/>
        </w:rPr>
        <w:t xml:space="preserve">0,3mg/dl artış olması ya da sKr düzeyinin </w:t>
      </w:r>
      <m:oMath>
        <m:r>
          <m:rPr>
            <m:sty m:val="p"/>
          </m:rPr>
          <w:rPr>
            <w:rFonts w:ascii="Cambria Math" w:hAnsi="Cambria Math"/>
            <w:color w:val="000000" w:themeColor="text1"/>
            <w:szCs w:val="24"/>
          </w:rPr>
          <m:t>≥</m:t>
        </m:r>
      </m:oMath>
      <w:r w:rsidRPr="000E67C3">
        <w:rPr>
          <w:color w:val="000000" w:themeColor="text1"/>
          <w:szCs w:val="24"/>
        </w:rPr>
        <w:t xml:space="preserve">1.5 ve ≤2 kat artışı ya da idrar çıkışının 6 saat süreyle 0,5ml/kg/saat altına düşmesi; </w:t>
      </w:r>
      <w:r w:rsidRPr="000E67C3">
        <w:rPr>
          <w:b/>
          <w:bCs/>
          <w:color w:val="000000" w:themeColor="text1"/>
          <w:szCs w:val="24"/>
        </w:rPr>
        <w:t>evre 2</w:t>
      </w:r>
      <w:r w:rsidRPr="000E67C3">
        <w:rPr>
          <w:color w:val="000000" w:themeColor="text1"/>
          <w:szCs w:val="24"/>
        </w:rPr>
        <w:t xml:space="preserve"> sKr düzeyinin </w:t>
      </w:r>
      <m:oMath>
        <m:r>
          <w:rPr>
            <w:rFonts w:ascii="Cambria Math" w:hAnsi="Cambria Math"/>
            <w:color w:val="000000" w:themeColor="text1"/>
            <w:szCs w:val="24"/>
          </w:rPr>
          <m:t>&gt;</m:t>
        </m:r>
      </m:oMath>
      <w:r w:rsidRPr="000E67C3">
        <w:rPr>
          <w:color w:val="000000" w:themeColor="text1"/>
          <w:szCs w:val="24"/>
        </w:rPr>
        <w:t xml:space="preserve">2 ve ≤3 kat artışı ya da idrar çıkışının 12 saat süreyle 0,5ml/kg/saat altına düşmesi; </w:t>
      </w:r>
      <w:r w:rsidRPr="000E67C3">
        <w:rPr>
          <w:b/>
          <w:bCs/>
          <w:color w:val="000000" w:themeColor="text1"/>
          <w:szCs w:val="24"/>
        </w:rPr>
        <w:t xml:space="preserve">evre 3 </w:t>
      </w:r>
      <w:r w:rsidRPr="000E67C3">
        <w:rPr>
          <w:color w:val="000000" w:themeColor="text1"/>
          <w:szCs w:val="24"/>
        </w:rPr>
        <w:t xml:space="preserve">sKr düzeyinin &gt;3 kat artması ya da sKr düzeyinin </w:t>
      </w:r>
      <m:oMath>
        <m:r>
          <m:rPr>
            <m:sty m:val="p"/>
          </m:rPr>
          <w:rPr>
            <w:rFonts w:ascii="Cambria Math" w:hAnsi="Cambria Math"/>
            <w:color w:val="000000" w:themeColor="text1"/>
            <w:szCs w:val="24"/>
          </w:rPr>
          <m:t>≥</m:t>
        </m:r>
      </m:oMath>
      <w:r w:rsidRPr="000E67C3">
        <w:rPr>
          <w:color w:val="000000" w:themeColor="text1"/>
          <w:szCs w:val="24"/>
        </w:rPr>
        <w:t xml:space="preserve">4mg/dl olmasıyla birlikte sKr düzeyinde </w:t>
      </w:r>
      <m:oMath>
        <m:r>
          <m:rPr>
            <m:sty m:val="p"/>
          </m:rPr>
          <w:rPr>
            <w:rFonts w:ascii="Cambria Math" w:hAnsi="Cambria Math"/>
            <w:color w:val="000000" w:themeColor="text1"/>
            <w:szCs w:val="24"/>
          </w:rPr>
          <m:t>≥</m:t>
        </m:r>
      </m:oMath>
      <w:r w:rsidRPr="000E67C3">
        <w:rPr>
          <w:color w:val="000000" w:themeColor="text1"/>
          <w:szCs w:val="24"/>
        </w:rPr>
        <w:t>0,5 mg/dl ani artış olması ya da renal replasman ihtiyacı olması, idrar miktarına göre ise idrar çıkışının 24 saat boyunca 0,3ml/kg/saat altında olması ya da 12 saat süreyle anüri olması olarak sınıflandırılmaktadır (Tablo 2.7) (27).</w:t>
      </w:r>
    </w:p>
    <w:p w:rsidR="000E67C3" w:rsidRPr="000E67C3" w:rsidRDefault="000E67C3" w:rsidP="000E67C3">
      <w:pPr>
        <w:autoSpaceDE w:val="0"/>
        <w:autoSpaceDN w:val="0"/>
        <w:adjustRightInd w:val="0"/>
        <w:rPr>
          <w:color w:val="000000" w:themeColor="text1"/>
          <w:szCs w:val="24"/>
        </w:rPr>
      </w:pPr>
    </w:p>
    <w:p w:rsidR="000E67C3" w:rsidRPr="000E67C3" w:rsidRDefault="000E67C3" w:rsidP="000E67C3">
      <w:pPr>
        <w:autoSpaceDE w:val="0"/>
        <w:autoSpaceDN w:val="0"/>
        <w:adjustRightInd w:val="0"/>
        <w:rPr>
          <w:color w:val="000000" w:themeColor="text1"/>
          <w:szCs w:val="24"/>
        </w:rPr>
      </w:pPr>
    </w:p>
    <w:p w:rsidR="000E67C3" w:rsidRPr="00FF149C" w:rsidRDefault="00FF149C" w:rsidP="00FF149C">
      <w:pPr>
        <w:pStyle w:val="ResimYazs"/>
        <w:rPr>
          <w:color w:val="000000" w:themeColor="text1"/>
          <w:szCs w:val="24"/>
        </w:rPr>
      </w:pPr>
      <w:bookmarkStart w:id="32" w:name="_Toc459713111"/>
      <w:r>
        <w:lastRenderedPageBreak/>
        <w:t xml:space="preserve">Tablo </w:t>
      </w:r>
      <w:r w:rsidR="001715F4">
        <w:t>2</w:t>
      </w:r>
      <w:r w:rsidR="00382CFB">
        <w:t>.</w:t>
      </w:r>
      <w:r w:rsidR="00C57A06">
        <w:fldChar w:fldCharType="begin"/>
      </w:r>
      <w:r w:rsidR="00353523">
        <w:instrText xml:space="preserve"> SEQ Tablo \* ARABIC \s 1 </w:instrText>
      </w:r>
      <w:r w:rsidR="00C57A06">
        <w:fldChar w:fldCharType="separate"/>
      </w:r>
      <w:r w:rsidR="001C364D">
        <w:rPr>
          <w:noProof/>
        </w:rPr>
        <w:t>7</w:t>
      </w:r>
      <w:r w:rsidR="00C57A06">
        <w:rPr>
          <w:noProof/>
        </w:rPr>
        <w:fldChar w:fldCharType="end"/>
      </w:r>
      <w:r>
        <w:t xml:space="preserve">. </w:t>
      </w:r>
      <w:r w:rsidR="000E67C3" w:rsidRPr="00FF149C">
        <w:rPr>
          <w:color w:val="000000" w:themeColor="text1"/>
          <w:szCs w:val="24"/>
        </w:rPr>
        <w:t>AKIN Kriterleri</w:t>
      </w:r>
      <w:bookmarkEnd w:id="32"/>
    </w:p>
    <w:tbl>
      <w:tblPr>
        <w:tblStyle w:val="TabloKlavuzu"/>
        <w:tblW w:w="4884" w:type="pct"/>
        <w:tblInd w:w="108" w:type="dxa"/>
        <w:tblLook w:val="04A0"/>
      </w:tblPr>
      <w:tblGrid>
        <w:gridCol w:w="1237"/>
        <w:gridCol w:w="3848"/>
        <w:gridCol w:w="3709"/>
      </w:tblGrid>
      <w:tr w:rsidR="000E67C3" w:rsidRPr="000E67C3" w:rsidTr="00FF149C">
        <w:tc>
          <w:tcPr>
            <w:tcW w:w="703" w:type="pct"/>
            <w:tcBorders>
              <w:top w:val="single" w:sz="18" w:space="0" w:color="auto"/>
              <w:left w:val="nil"/>
              <w:bottom w:val="single" w:sz="18" w:space="0" w:color="auto"/>
              <w:right w:val="nil"/>
            </w:tcBorders>
          </w:tcPr>
          <w:p w:rsidR="000E67C3" w:rsidRPr="000E67C3" w:rsidRDefault="000E67C3" w:rsidP="009C6BB2">
            <w:pPr>
              <w:autoSpaceDE w:val="0"/>
              <w:autoSpaceDN w:val="0"/>
              <w:adjustRightInd w:val="0"/>
              <w:rPr>
                <w:b/>
                <w:color w:val="000000" w:themeColor="text1"/>
                <w:szCs w:val="24"/>
              </w:rPr>
            </w:pPr>
            <w:r w:rsidRPr="000E67C3">
              <w:rPr>
                <w:b/>
                <w:color w:val="000000" w:themeColor="text1"/>
                <w:szCs w:val="24"/>
              </w:rPr>
              <w:t>Evre</w:t>
            </w:r>
          </w:p>
        </w:tc>
        <w:tc>
          <w:tcPr>
            <w:tcW w:w="2188" w:type="pct"/>
            <w:tcBorders>
              <w:top w:val="single" w:sz="18" w:space="0" w:color="auto"/>
              <w:left w:val="nil"/>
              <w:bottom w:val="single" w:sz="18" w:space="0" w:color="auto"/>
              <w:right w:val="nil"/>
            </w:tcBorders>
          </w:tcPr>
          <w:p w:rsidR="000E67C3" w:rsidRPr="000E67C3" w:rsidRDefault="000E67C3" w:rsidP="009C6BB2">
            <w:pPr>
              <w:autoSpaceDE w:val="0"/>
              <w:autoSpaceDN w:val="0"/>
              <w:adjustRightInd w:val="0"/>
              <w:rPr>
                <w:b/>
                <w:color w:val="000000" w:themeColor="text1"/>
                <w:szCs w:val="24"/>
              </w:rPr>
            </w:pPr>
            <w:r w:rsidRPr="000E67C3">
              <w:rPr>
                <w:b/>
                <w:color w:val="000000" w:themeColor="text1"/>
                <w:szCs w:val="24"/>
              </w:rPr>
              <w:t>Serum kreatinin kriteri</w:t>
            </w:r>
          </w:p>
        </w:tc>
        <w:tc>
          <w:tcPr>
            <w:tcW w:w="2110" w:type="pct"/>
            <w:tcBorders>
              <w:top w:val="single" w:sz="18" w:space="0" w:color="auto"/>
              <w:left w:val="nil"/>
              <w:bottom w:val="single" w:sz="18" w:space="0" w:color="auto"/>
              <w:right w:val="nil"/>
            </w:tcBorders>
          </w:tcPr>
          <w:p w:rsidR="000E67C3" w:rsidRPr="000E67C3" w:rsidRDefault="000E67C3" w:rsidP="009C6BB2">
            <w:pPr>
              <w:autoSpaceDE w:val="0"/>
              <w:autoSpaceDN w:val="0"/>
              <w:adjustRightInd w:val="0"/>
              <w:rPr>
                <w:b/>
                <w:color w:val="000000" w:themeColor="text1"/>
                <w:szCs w:val="24"/>
              </w:rPr>
            </w:pPr>
            <w:r w:rsidRPr="000E67C3">
              <w:rPr>
                <w:b/>
                <w:color w:val="000000" w:themeColor="text1"/>
                <w:szCs w:val="24"/>
              </w:rPr>
              <w:t>İdrar Kriteri</w:t>
            </w:r>
          </w:p>
        </w:tc>
      </w:tr>
      <w:tr w:rsidR="000E67C3" w:rsidRPr="000E67C3" w:rsidTr="009C6BB2">
        <w:tc>
          <w:tcPr>
            <w:tcW w:w="703" w:type="pct"/>
            <w:tcBorders>
              <w:top w:val="single" w:sz="18" w:space="0" w:color="auto"/>
              <w:left w:val="nil"/>
              <w:bottom w:val="nil"/>
              <w:right w:val="nil"/>
            </w:tcBorders>
          </w:tcPr>
          <w:p w:rsidR="000E67C3" w:rsidRPr="000E67C3" w:rsidRDefault="000E67C3" w:rsidP="009C6BB2">
            <w:pPr>
              <w:autoSpaceDE w:val="0"/>
              <w:autoSpaceDN w:val="0"/>
              <w:adjustRightInd w:val="0"/>
              <w:rPr>
                <w:color w:val="000000" w:themeColor="text1"/>
                <w:szCs w:val="24"/>
              </w:rPr>
            </w:pPr>
            <w:r w:rsidRPr="000E67C3">
              <w:rPr>
                <w:color w:val="000000" w:themeColor="text1"/>
                <w:szCs w:val="24"/>
              </w:rPr>
              <w:t>1</w:t>
            </w:r>
          </w:p>
        </w:tc>
        <w:tc>
          <w:tcPr>
            <w:tcW w:w="2188" w:type="pct"/>
            <w:tcBorders>
              <w:top w:val="single" w:sz="18" w:space="0" w:color="auto"/>
              <w:left w:val="nil"/>
              <w:bottom w:val="nil"/>
              <w:right w:val="nil"/>
            </w:tcBorders>
            <w:vAlign w:val="center"/>
          </w:tcPr>
          <w:p w:rsidR="000E67C3" w:rsidRPr="000E67C3" w:rsidRDefault="000E67C3" w:rsidP="009C6BB2">
            <w:pPr>
              <w:autoSpaceDE w:val="0"/>
              <w:autoSpaceDN w:val="0"/>
              <w:adjustRightInd w:val="0"/>
              <w:jc w:val="left"/>
              <w:rPr>
                <w:color w:val="000000" w:themeColor="text1"/>
                <w:szCs w:val="24"/>
              </w:rPr>
            </w:pPr>
            <w:r w:rsidRPr="000E67C3">
              <w:rPr>
                <w:color w:val="000000" w:themeColor="text1"/>
                <w:szCs w:val="24"/>
              </w:rPr>
              <w:t>≥0.3 mg/dl ve üzerinde veya; %150-200(1.5-2 kat) oranında yükselme</w:t>
            </w:r>
          </w:p>
        </w:tc>
        <w:tc>
          <w:tcPr>
            <w:tcW w:w="2110" w:type="pct"/>
            <w:tcBorders>
              <w:top w:val="single" w:sz="18" w:space="0" w:color="auto"/>
              <w:left w:val="nil"/>
              <w:bottom w:val="nil"/>
              <w:right w:val="nil"/>
            </w:tcBorders>
            <w:vAlign w:val="center"/>
          </w:tcPr>
          <w:p w:rsidR="000E67C3" w:rsidRPr="000E67C3" w:rsidRDefault="000E67C3" w:rsidP="009C6BB2">
            <w:pPr>
              <w:autoSpaceDE w:val="0"/>
              <w:autoSpaceDN w:val="0"/>
              <w:adjustRightInd w:val="0"/>
              <w:jc w:val="left"/>
              <w:rPr>
                <w:color w:val="000000" w:themeColor="text1"/>
                <w:szCs w:val="24"/>
              </w:rPr>
            </w:pPr>
            <w:r w:rsidRPr="000E67C3">
              <w:rPr>
                <w:color w:val="000000" w:themeColor="text1"/>
                <w:szCs w:val="24"/>
              </w:rPr>
              <w:t>6 saatten uzun süre idrar çıkışının 0.5 ml/kg'dan düşük olması</w:t>
            </w:r>
          </w:p>
        </w:tc>
      </w:tr>
      <w:tr w:rsidR="000E67C3" w:rsidRPr="000E67C3" w:rsidTr="009C6BB2">
        <w:tc>
          <w:tcPr>
            <w:tcW w:w="703" w:type="pct"/>
            <w:tcBorders>
              <w:top w:val="nil"/>
              <w:left w:val="nil"/>
              <w:bottom w:val="nil"/>
              <w:right w:val="nil"/>
            </w:tcBorders>
          </w:tcPr>
          <w:p w:rsidR="000E67C3" w:rsidRPr="000E67C3" w:rsidRDefault="000E67C3" w:rsidP="009C6BB2">
            <w:pPr>
              <w:autoSpaceDE w:val="0"/>
              <w:autoSpaceDN w:val="0"/>
              <w:adjustRightInd w:val="0"/>
              <w:rPr>
                <w:color w:val="000000" w:themeColor="text1"/>
                <w:szCs w:val="24"/>
              </w:rPr>
            </w:pPr>
            <w:r w:rsidRPr="000E67C3">
              <w:rPr>
                <w:color w:val="000000" w:themeColor="text1"/>
                <w:szCs w:val="24"/>
              </w:rPr>
              <w:t xml:space="preserve">2 </w:t>
            </w:r>
          </w:p>
        </w:tc>
        <w:tc>
          <w:tcPr>
            <w:tcW w:w="2188" w:type="pct"/>
            <w:tcBorders>
              <w:top w:val="nil"/>
              <w:left w:val="nil"/>
              <w:bottom w:val="nil"/>
              <w:right w:val="nil"/>
            </w:tcBorders>
            <w:vAlign w:val="center"/>
          </w:tcPr>
          <w:p w:rsidR="000E67C3" w:rsidRPr="000E67C3" w:rsidRDefault="000E67C3" w:rsidP="009C6BB2">
            <w:pPr>
              <w:autoSpaceDE w:val="0"/>
              <w:autoSpaceDN w:val="0"/>
              <w:adjustRightInd w:val="0"/>
              <w:jc w:val="left"/>
              <w:rPr>
                <w:color w:val="000000" w:themeColor="text1"/>
                <w:szCs w:val="24"/>
              </w:rPr>
            </w:pPr>
            <w:r w:rsidRPr="000E67C3">
              <w:rPr>
                <w:color w:val="000000" w:themeColor="text1"/>
                <w:szCs w:val="24"/>
              </w:rPr>
              <w:t>&gt;%200-300(&gt;2-3 kat) oranında yükselme</w:t>
            </w:r>
          </w:p>
        </w:tc>
        <w:tc>
          <w:tcPr>
            <w:tcW w:w="2110" w:type="pct"/>
            <w:tcBorders>
              <w:top w:val="nil"/>
              <w:left w:val="nil"/>
              <w:bottom w:val="nil"/>
              <w:right w:val="nil"/>
            </w:tcBorders>
            <w:vAlign w:val="center"/>
          </w:tcPr>
          <w:p w:rsidR="000E67C3" w:rsidRPr="000E67C3" w:rsidRDefault="000E67C3" w:rsidP="009C6BB2">
            <w:pPr>
              <w:autoSpaceDE w:val="0"/>
              <w:autoSpaceDN w:val="0"/>
              <w:adjustRightInd w:val="0"/>
              <w:jc w:val="left"/>
              <w:rPr>
                <w:color w:val="000000" w:themeColor="text1"/>
                <w:szCs w:val="24"/>
              </w:rPr>
            </w:pPr>
            <w:r w:rsidRPr="000E67C3">
              <w:rPr>
                <w:color w:val="000000" w:themeColor="text1"/>
                <w:szCs w:val="24"/>
              </w:rPr>
              <w:t>12 saatten uzun süre idrar çıkışının 0.5 ml/kg'dan düşük olması</w:t>
            </w:r>
          </w:p>
        </w:tc>
      </w:tr>
      <w:tr w:rsidR="000E67C3" w:rsidRPr="000E67C3" w:rsidTr="009C6BB2">
        <w:tc>
          <w:tcPr>
            <w:tcW w:w="703" w:type="pct"/>
            <w:tcBorders>
              <w:top w:val="nil"/>
              <w:left w:val="nil"/>
              <w:right w:val="nil"/>
            </w:tcBorders>
          </w:tcPr>
          <w:p w:rsidR="000E67C3" w:rsidRPr="000E67C3" w:rsidRDefault="000E67C3" w:rsidP="009C6BB2">
            <w:pPr>
              <w:autoSpaceDE w:val="0"/>
              <w:autoSpaceDN w:val="0"/>
              <w:adjustRightInd w:val="0"/>
              <w:rPr>
                <w:color w:val="000000" w:themeColor="text1"/>
                <w:szCs w:val="24"/>
                <w:vertAlign w:val="superscript"/>
              </w:rPr>
            </w:pPr>
            <w:r w:rsidRPr="000E67C3">
              <w:rPr>
                <w:color w:val="000000" w:themeColor="text1"/>
                <w:szCs w:val="24"/>
              </w:rPr>
              <w:t>3</w:t>
            </w:r>
            <w:r w:rsidRPr="000E67C3">
              <w:rPr>
                <w:color w:val="000000" w:themeColor="text1"/>
                <w:szCs w:val="24"/>
                <w:vertAlign w:val="superscript"/>
              </w:rPr>
              <w:t>a</w:t>
            </w:r>
          </w:p>
        </w:tc>
        <w:tc>
          <w:tcPr>
            <w:tcW w:w="2188" w:type="pct"/>
            <w:tcBorders>
              <w:top w:val="nil"/>
              <w:left w:val="nil"/>
              <w:right w:val="nil"/>
            </w:tcBorders>
            <w:vAlign w:val="center"/>
          </w:tcPr>
          <w:p w:rsidR="000E67C3" w:rsidRPr="000E67C3" w:rsidRDefault="000E67C3" w:rsidP="009C6BB2">
            <w:pPr>
              <w:autoSpaceDE w:val="0"/>
              <w:autoSpaceDN w:val="0"/>
              <w:adjustRightInd w:val="0"/>
              <w:jc w:val="left"/>
              <w:rPr>
                <w:color w:val="000000" w:themeColor="text1"/>
                <w:szCs w:val="24"/>
              </w:rPr>
            </w:pPr>
            <w:r w:rsidRPr="000E67C3">
              <w:rPr>
                <w:color w:val="000000" w:themeColor="text1"/>
                <w:szCs w:val="24"/>
              </w:rPr>
              <w:t>&gt;%300 (&gt;3 kattan fazla) yükselme veya; serum kreatinini 4 mg/dl nin üzerindeyken 0.5 mg/dl ani artış</w:t>
            </w:r>
          </w:p>
        </w:tc>
        <w:tc>
          <w:tcPr>
            <w:tcW w:w="2110" w:type="pct"/>
            <w:tcBorders>
              <w:top w:val="nil"/>
              <w:left w:val="nil"/>
              <w:right w:val="nil"/>
            </w:tcBorders>
            <w:vAlign w:val="center"/>
          </w:tcPr>
          <w:p w:rsidR="000E67C3" w:rsidRPr="000E67C3" w:rsidRDefault="000E67C3" w:rsidP="009C6BB2">
            <w:pPr>
              <w:autoSpaceDE w:val="0"/>
              <w:autoSpaceDN w:val="0"/>
              <w:adjustRightInd w:val="0"/>
              <w:jc w:val="left"/>
              <w:rPr>
                <w:color w:val="000000" w:themeColor="text1"/>
                <w:szCs w:val="24"/>
              </w:rPr>
            </w:pPr>
            <w:r w:rsidRPr="000E67C3">
              <w:rPr>
                <w:color w:val="000000" w:themeColor="text1"/>
                <w:szCs w:val="24"/>
              </w:rPr>
              <w:t>24 saatten uzun süre idrar çıkışının 0.3 ml/kg'dan düşük olması veya;</w:t>
            </w:r>
          </w:p>
          <w:p w:rsidR="000E67C3" w:rsidRPr="000E67C3" w:rsidRDefault="000E67C3" w:rsidP="009C6BB2">
            <w:pPr>
              <w:autoSpaceDE w:val="0"/>
              <w:autoSpaceDN w:val="0"/>
              <w:adjustRightInd w:val="0"/>
              <w:jc w:val="left"/>
              <w:rPr>
                <w:color w:val="000000" w:themeColor="text1"/>
                <w:szCs w:val="24"/>
              </w:rPr>
            </w:pPr>
            <w:r w:rsidRPr="000E67C3">
              <w:rPr>
                <w:color w:val="000000" w:themeColor="text1"/>
                <w:szCs w:val="24"/>
              </w:rPr>
              <w:t>12 saat boyunca anüri</w:t>
            </w:r>
          </w:p>
        </w:tc>
      </w:tr>
    </w:tbl>
    <w:p w:rsidR="000E67C3" w:rsidRPr="00FF149C" w:rsidRDefault="000E67C3" w:rsidP="000E67C3">
      <w:pPr>
        <w:autoSpaceDE w:val="0"/>
        <w:autoSpaceDN w:val="0"/>
        <w:adjustRightInd w:val="0"/>
        <w:rPr>
          <w:color w:val="000000" w:themeColor="text1"/>
          <w:sz w:val="20"/>
          <w:szCs w:val="24"/>
        </w:rPr>
      </w:pPr>
      <w:r w:rsidRPr="000E67C3">
        <w:rPr>
          <w:color w:val="000000" w:themeColor="text1"/>
          <w:szCs w:val="24"/>
          <w:vertAlign w:val="superscript"/>
        </w:rPr>
        <w:t xml:space="preserve">a </w:t>
      </w:r>
      <w:r w:rsidRPr="00FF149C">
        <w:rPr>
          <w:color w:val="000000" w:themeColor="text1"/>
          <w:sz w:val="20"/>
          <w:szCs w:val="24"/>
        </w:rPr>
        <w:t>:Diyaliz tedavisi diğer kriterlerden bağımsız olarak evre 3 olarak sınıflamayı gerektirir. ABH tanımlanırken 48 saat içindeki değişiklikler dikkate alınmalıdır.</w:t>
      </w:r>
    </w:p>
    <w:p w:rsidR="000E67C3" w:rsidRPr="000E67C3" w:rsidRDefault="000E67C3" w:rsidP="000E67C3">
      <w:pPr>
        <w:autoSpaceDE w:val="0"/>
        <w:autoSpaceDN w:val="0"/>
        <w:adjustRightInd w:val="0"/>
        <w:rPr>
          <w:color w:val="000000" w:themeColor="text1"/>
          <w:szCs w:val="24"/>
        </w:rPr>
      </w:pPr>
      <w:r w:rsidRPr="000E67C3">
        <w:rPr>
          <w:color w:val="000000" w:themeColor="text1"/>
          <w:szCs w:val="24"/>
        </w:rPr>
        <w:tab/>
      </w:r>
    </w:p>
    <w:p w:rsidR="000E67C3" w:rsidRPr="000E67C3" w:rsidRDefault="000E67C3" w:rsidP="000E67C3">
      <w:pPr>
        <w:autoSpaceDE w:val="0"/>
        <w:autoSpaceDN w:val="0"/>
        <w:adjustRightInd w:val="0"/>
        <w:rPr>
          <w:color w:val="000000" w:themeColor="text1"/>
          <w:szCs w:val="24"/>
        </w:rPr>
      </w:pPr>
      <w:r w:rsidRPr="000E67C3">
        <w:rPr>
          <w:color w:val="000000" w:themeColor="text1"/>
          <w:szCs w:val="24"/>
        </w:rPr>
        <w:tab/>
        <w:t xml:space="preserve">AKIN kriterlerinde ABH'ye girmeden hemen önceki kreatinin değeri bazal serum kreatinin değeri olarak değerlendirilir. RIFLE kriterlerinden farklı olarak, bazal kreatinin değerine olan ihtiyaç söz konusu değildir. Ayrıca, yeterli hidrasyon sonrası kreatinin değerinin dikkate alınması tavsiye edilir. Yine RIFLE kriterlerinde geçici diyaliz ihtiyacı değil uzun süreli diyaliz ihtiyacından bahsedilirken, AKIN evrelemesinde diğer kriterlerden bağımsız olarak bir kez bile diyaliz tedavisi ihtiyacı doğması hastayı doğrudan evre 3 olarak sınıflandırır. </w:t>
      </w:r>
    </w:p>
    <w:p w:rsidR="000E67C3" w:rsidRPr="000E67C3" w:rsidRDefault="000E67C3" w:rsidP="000E67C3">
      <w:pPr>
        <w:autoSpaceDE w:val="0"/>
        <w:autoSpaceDN w:val="0"/>
        <w:adjustRightInd w:val="0"/>
        <w:rPr>
          <w:color w:val="000000" w:themeColor="text1"/>
          <w:szCs w:val="24"/>
        </w:rPr>
      </w:pPr>
      <w:r w:rsidRPr="000E67C3">
        <w:rPr>
          <w:color w:val="000000" w:themeColor="text1"/>
          <w:szCs w:val="24"/>
        </w:rPr>
        <w:tab/>
        <w:t>RIFLE ve AKIN tanı kriterleri, birtakım kısıtlılıkları barındırsa da mevcut tanı sistemleri içinde çalışmalarda en çok tercih edilen ve en çok görüş birliğinin sağlandığı kriterlerdir. Her ikisinde de serum kreatinin artışı ve diürez miktarında azalma kullanılır, etiyoloji dahil edilmemiştir. Her iki evreleme sistemi de çalışmalar sonucunda ABH şiddeti ile mortalite artışı arasında korelasyon olduğunu göstermiştir.</w:t>
      </w:r>
    </w:p>
    <w:p w:rsidR="000E67C3" w:rsidRPr="000E67C3" w:rsidRDefault="000E67C3" w:rsidP="000E67C3">
      <w:pPr>
        <w:pStyle w:val="Default"/>
        <w:jc w:val="both"/>
        <w:rPr>
          <w:rFonts w:ascii="Times New Roman" w:hAnsi="Times New Roman" w:cs="Times New Roman"/>
          <w:b/>
          <w:bCs/>
          <w:color w:val="000000" w:themeColor="text1"/>
        </w:rPr>
      </w:pPr>
    </w:p>
    <w:p w:rsidR="000E67C3" w:rsidRPr="000E67C3" w:rsidRDefault="000E67C3" w:rsidP="000E67C3">
      <w:pPr>
        <w:pStyle w:val="Default"/>
        <w:jc w:val="both"/>
        <w:rPr>
          <w:rFonts w:ascii="Times New Roman" w:hAnsi="Times New Roman" w:cs="Times New Roman"/>
          <w:color w:val="000000" w:themeColor="text1"/>
        </w:rPr>
      </w:pPr>
      <w:r w:rsidRPr="000E67C3">
        <w:rPr>
          <w:rFonts w:ascii="Times New Roman" w:hAnsi="Times New Roman" w:cs="Times New Roman"/>
          <w:b/>
          <w:bCs/>
          <w:color w:val="000000" w:themeColor="text1"/>
        </w:rPr>
        <w:t xml:space="preserve">Karşılaştırmalı çalışmalar </w:t>
      </w:r>
    </w:p>
    <w:p w:rsidR="000E67C3" w:rsidRPr="000E67C3" w:rsidRDefault="000E67C3" w:rsidP="000E67C3">
      <w:pPr>
        <w:rPr>
          <w:color w:val="000000" w:themeColor="text1"/>
          <w:szCs w:val="24"/>
        </w:rPr>
      </w:pPr>
      <w:r w:rsidRPr="000E67C3">
        <w:rPr>
          <w:color w:val="000000" w:themeColor="text1"/>
          <w:szCs w:val="24"/>
        </w:rPr>
        <w:tab/>
        <w:t>RIFLE ve AKIN kriterleri arasındaki karşılaştırmalı çalışmalarda ABH tanısını koyarken AKIN kriterlerinin daha başarılı olduğu ve daha fazla vaka yakaladığı (AKIN: %50.4 ve RIFLE: %43.8, p=0.018) ancak mortaliteyi öngörme açısından birbirlerine üstünlüklerinin olmadığı sonucuna varılmıştır (48,16).</w:t>
      </w:r>
    </w:p>
    <w:p w:rsidR="000E67C3" w:rsidRPr="000E67C3" w:rsidRDefault="000E67C3" w:rsidP="000E67C3">
      <w:pPr>
        <w:rPr>
          <w:color w:val="000000" w:themeColor="text1"/>
          <w:szCs w:val="24"/>
        </w:rPr>
      </w:pPr>
      <w:r w:rsidRPr="000E67C3">
        <w:rPr>
          <w:color w:val="000000" w:themeColor="text1"/>
          <w:szCs w:val="24"/>
        </w:rPr>
        <w:tab/>
        <w:t xml:space="preserve">AKIN ve RIFLE kriterlerini karşılaştıran Lopes ve arkadaşlarına ait bir çalışmada, yoğun bakıma girişinin ilk 48 saatinde değerlendirilen hastalar arasında AKIN kriterlerinin tanısal açıdan daha duyarlı olabileceği (AKIN:%50.4 ve RIFLE:% 43.8 ) ancak mortalite öngörmede aralarında fark olmadığı saptanmıştır (48). </w:t>
      </w:r>
    </w:p>
    <w:p w:rsidR="000E67C3" w:rsidRPr="000E67C3" w:rsidRDefault="000E67C3" w:rsidP="000E67C3">
      <w:pPr>
        <w:pStyle w:val="Default"/>
        <w:jc w:val="both"/>
        <w:rPr>
          <w:rFonts w:ascii="Times New Roman" w:hAnsi="Times New Roman" w:cs="Times New Roman"/>
          <w:b/>
          <w:bCs/>
          <w:color w:val="000000" w:themeColor="text1"/>
        </w:rPr>
      </w:pPr>
    </w:p>
    <w:p w:rsidR="000E67C3" w:rsidRPr="000E67C3" w:rsidRDefault="000E67C3" w:rsidP="000E67C3">
      <w:pPr>
        <w:pStyle w:val="Default"/>
        <w:jc w:val="both"/>
        <w:rPr>
          <w:rFonts w:ascii="Times New Roman" w:hAnsi="Times New Roman" w:cs="Times New Roman"/>
          <w:b/>
          <w:bCs/>
          <w:color w:val="000000" w:themeColor="text1"/>
        </w:rPr>
      </w:pPr>
      <w:r w:rsidRPr="000E67C3">
        <w:rPr>
          <w:rFonts w:ascii="Times New Roman" w:hAnsi="Times New Roman" w:cs="Times New Roman"/>
          <w:b/>
          <w:bCs/>
          <w:color w:val="000000" w:themeColor="text1"/>
        </w:rPr>
        <w:t xml:space="preserve">Kısıtlılıklar </w:t>
      </w:r>
    </w:p>
    <w:p w:rsidR="000E67C3" w:rsidRPr="000E67C3" w:rsidRDefault="000E67C3" w:rsidP="000E67C3">
      <w:pPr>
        <w:rPr>
          <w:color w:val="000000" w:themeColor="text1"/>
          <w:szCs w:val="24"/>
        </w:rPr>
      </w:pPr>
      <w:r w:rsidRPr="000E67C3">
        <w:rPr>
          <w:color w:val="000000" w:themeColor="text1"/>
          <w:szCs w:val="24"/>
        </w:rPr>
        <w:tab/>
        <w:t>Oldukça sistematik, duyarlı ve geniş çevrelerce kabul edilir bir tanımlama olmasına rağmen RIFLE tanımlamasının bazı kısıtlılıkları vardır. RIFLE kriterlerinde yer alan bazal kreatinin değerinin çoğunlukla bilinmesi mümkün değildir. Bu sebeple RIFLE tanımlamasının kullanıldığı çalışmaların çoğunda hastaların bazal değeri olarak MDRD formülüne göre 75 ml/dk kreatinin klirensini sağlayan serum kreatinin düzeyi kabul edilmiştir. Bazal değerin üzerinden geçmesi gereken süre net olarak bilinmemektedir, Klinik takipteki en yüksek kreatinin düzeyi ikinci kreatinin düzeyi olarak ele alınır. Takipte hemodiyaliz ihtiyacının doğması kriterler arasına dahil edilmez. Bu gibi birtakım kısıtlılıklardan dolayı RIFLE modifiye edilerek AKIN kriterleri tanımlanmıştır.</w:t>
      </w:r>
    </w:p>
    <w:p w:rsidR="000E67C3" w:rsidRPr="000E67C3" w:rsidRDefault="000E67C3" w:rsidP="000E67C3">
      <w:pPr>
        <w:rPr>
          <w:color w:val="000000" w:themeColor="text1"/>
          <w:szCs w:val="24"/>
        </w:rPr>
      </w:pPr>
      <w:r w:rsidRPr="000E67C3">
        <w:rPr>
          <w:color w:val="000000" w:themeColor="text1"/>
          <w:szCs w:val="24"/>
        </w:rPr>
        <w:tab/>
        <w:t>Her ikisinde de kriterler belirlenirken sebepten çok sonuç odaklı(serum kreatinin düzeyi ve idrar miktarında azalma) yaklaşım vardır. Etiyoloji dikkate alınmadığı için üriner obstrüksiyonu olan hastalarda klinik gidiş iyi olduğu halde hastalar oligoanürik olduğundan yanlışlıkla ileri evre ABH olarak değerlendirilebilir. Oysa oligoanüri ABH nin şiddetinden bağımsız olarak ortaya çıkabilir.</w:t>
      </w:r>
    </w:p>
    <w:p w:rsidR="000E67C3" w:rsidRPr="000E67C3" w:rsidRDefault="000E67C3" w:rsidP="000E67C3">
      <w:pPr>
        <w:rPr>
          <w:b/>
          <w:color w:val="000000" w:themeColor="text1"/>
          <w:szCs w:val="24"/>
        </w:rPr>
      </w:pPr>
    </w:p>
    <w:p w:rsidR="000E67C3" w:rsidRPr="000E67C3" w:rsidRDefault="000E67C3" w:rsidP="00FF149C">
      <w:pPr>
        <w:pStyle w:val="Balk2"/>
      </w:pPr>
      <w:bookmarkStart w:id="33" w:name="_Toc459712410"/>
      <w:r w:rsidRPr="000E67C3">
        <w:t>2.4</w:t>
      </w:r>
      <w:r w:rsidR="00FF149C">
        <w:t>.</w:t>
      </w:r>
      <w:r w:rsidRPr="000E67C3">
        <w:t xml:space="preserve"> AKS-ABH İlişkisi</w:t>
      </w:r>
      <w:bookmarkEnd w:id="33"/>
    </w:p>
    <w:p w:rsidR="000E67C3" w:rsidRPr="000E67C3" w:rsidRDefault="000E67C3" w:rsidP="000E67C3">
      <w:pPr>
        <w:rPr>
          <w:color w:val="000000" w:themeColor="text1"/>
          <w:szCs w:val="24"/>
        </w:rPr>
      </w:pPr>
      <w:r w:rsidRPr="000E67C3">
        <w:rPr>
          <w:color w:val="000000" w:themeColor="text1"/>
          <w:szCs w:val="24"/>
        </w:rPr>
        <w:tab/>
        <w:t xml:space="preserve">Akut koroner sendromlu hastalarda ABH gelişme insidansı çalışmalarda %9-19 arasında değişmektedir (49-52). Farklı sonuçlar ABH tanımındaki farklılıklara, hasta takip sürelerinin değişken olmasına, populasyonun etnik ve coğrafi olarak heterojenitesine bağlıdır. ABH gelişimi akut koroner sendromun morbidite ve mortalitesinde artışa yol açan bağımsız bir risk faktörüdür (49,50). </w:t>
      </w:r>
    </w:p>
    <w:p w:rsidR="000E67C3" w:rsidRPr="000E67C3" w:rsidRDefault="000E67C3" w:rsidP="000E67C3">
      <w:pPr>
        <w:rPr>
          <w:b/>
          <w:color w:val="000000" w:themeColor="text1"/>
          <w:szCs w:val="24"/>
        </w:rPr>
      </w:pPr>
      <w:r w:rsidRPr="000E67C3">
        <w:rPr>
          <w:color w:val="000000" w:themeColor="text1"/>
          <w:szCs w:val="24"/>
        </w:rPr>
        <w:tab/>
        <w:t>Birçok çalışmada AKS'li hastalarda ABH gelişiminde etkili risk faktörleri değerlendirilmiş olup yaş, ejeksiyon fraksiyonu, DM, HT, KBH bağımsız risk faktörleri olarak kabul edilir (53-56).</w:t>
      </w:r>
      <w:r w:rsidRPr="000E67C3">
        <w:rPr>
          <w:b/>
          <w:color w:val="000000" w:themeColor="text1"/>
          <w:szCs w:val="24"/>
        </w:rPr>
        <w:t xml:space="preserve">    </w:t>
      </w:r>
    </w:p>
    <w:p w:rsidR="000E67C3" w:rsidRPr="000E67C3" w:rsidRDefault="000E67C3" w:rsidP="000E67C3">
      <w:pPr>
        <w:rPr>
          <w:b/>
          <w:color w:val="000000" w:themeColor="text1"/>
          <w:szCs w:val="24"/>
        </w:rPr>
      </w:pPr>
    </w:p>
    <w:p w:rsidR="000E67C3" w:rsidRPr="000E67C3" w:rsidRDefault="000E67C3" w:rsidP="00FF149C">
      <w:pPr>
        <w:pStyle w:val="Balk3"/>
      </w:pPr>
      <w:bookmarkStart w:id="34" w:name="_Toc459712411"/>
      <w:r w:rsidRPr="000E67C3">
        <w:t>2.4.1. AKS'de Kontrast Nefropatisi</w:t>
      </w:r>
      <w:bookmarkEnd w:id="34"/>
      <w:r w:rsidRPr="000E67C3">
        <w:t xml:space="preserve"> </w:t>
      </w:r>
    </w:p>
    <w:p w:rsidR="000E67C3" w:rsidRPr="000E67C3" w:rsidRDefault="000E67C3" w:rsidP="000E67C3">
      <w:pPr>
        <w:rPr>
          <w:color w:val="000000" w:themeColor="text1"/>
          <w:szCs w:val="24"/>
        </w:rPr>
      </w:pPr>
      <w:r w:rsidRPr="000E67C3">
        <w:rPr>
          <w:color w:val="000000" w:themeColor="text1"/>
          <w:szCs w:val="24"/>
        </w:rPr>
        <w:tab/>
        <w:t xml:space="preserve">Akut koroner sendromda koroner anjiografiye bağlı kontrast nefropatisi gelişebilir. Kontrast nefropatisi yaşlı bireylerde, zeminde KBH, diabetes mellitus, hipertansiyon, konjestif kalp yetmezliği, hipovolemi ya da multiple myelom gibi hastalıkları bulunan, yüksek dozda ve yüksek ozmolariteye sahip kontrast ajan alan, kardiyak cerrahi operasyon geçiren, NSAİİ kullanan, hipovolemi ya da anemisi olan hastalarda daha sıktır (30). ABH </w:t>
      </w:r>
      <w:r w:rsidRPr="000E67C3">
        <w:rPr>
          <w:color w:val="000000" w:themeColor="text1"/>
          <w:szCs w:val="24"/>
        </w:rPr>
        <w:lastRenderedPageBreak/>
        <w:t xml:space="preserve">gelişimini kolaylaştıran pek çok risk faktörü kontrast nefropati gelişimini de kolaylaştırmaktadır. </w:t>
      </w:r>
    </w:p>
    <w:p w:rsidR="000E67C3" w:rsidRPr="000E67C3" w:rsidRDefault="000E67C3" w:rsidP="000E67C3">
      <w:pPr>
        <w:rPr>
          <w:color w:val="000000" w:themeColor="text1"/>
          <w:szCs w:val="24"/>
        </w:rPr>
      </w:pPr>
      <w:r w:rsidRPr="000E67C3">
        <w:rPr>
          <w:color w:val="000000" w:themeColor="text1"/>
          <w:szCs w:val="24"/>
        </w:rPr>
        <w:tab/>
        <w:t>Kontrast nefropatisi tanımı kontrast maruziyetinden sonra 48-72 saat içinde serum kreatininde  bazal düzeye göre ≥%25 veya ≥0.5 mg/d</w:t>
      </w:r>
      <w:r w:rsidR="00FF149C">
        <w:rPr>
          <w:color w:val="000000" w:themeColor="text1"/>
          <w:szCs w:val="24"/>
        </w:rPr>
        <w:t>L</w:t>
      </w:r>
      <w:r w:rsidRPr="000E67C3">
        <w:rPr>
          <w:color w:val="000000" w:themeColor="text1"/>
          <w:szCs w:val="24"/>
        </w:rPr>
        <w:t xml:space="preserve"> artış olarak kabul edilmektedir, bazı tanımlarda süre 7 güne kadar uzamaktadır (57-61) </w:t>
      </w:r>
      <w:r w:rsidRPr="000E67C3">
        <w:rPr>
          <w:color w:val="000000"/>
          <w:szCs w:val="24"/>
        </w:rPr>
        <w:t xml:space="preserve">. </w:t>
      </w:r>
      <w:r w:rsidRPr="000E67C3">
        <w:rPr>
          <w:color w:val="000000" w:themeColor="text1"/>
          <w:szCs w:val="24"/>
        </w:rPr>
        <w:t xml:space="preserve"> Değişken tanımların olması kontrast nefropatisi insidansında ve kısa-uzun dönem morbidite ve mortaliteyi öngörmede faklılıklara yol açar (62,63). Yakın zamanda ABH tanımında standardizasyon önerilerek geliştirilen AKIN kriterleri kontrast nefropati tanımında da kullanılmaya başlanmıştır. Klasik kontrast nefropatisi tanımı ile AKIN kriterlerini prediktif açıdan karşılaştıracak yeterli sayıda çalışma bulunmamaktadır.</w:t>
      </w:r>
    </w:p>
    <w:p w:rsidR="000E67C3" w:rsidRPr="000E67C3" w:rsidRDefault="000E67C3" w:rsidP="000E67C3">
      <w:pPr>
        <w:rPr>
          <w:b/>
          <w:color w:val="000000" w:themeColor="text1"/>
          <w:szCs w:val="24"/>
        </w:rPr>
      </w:pPr>
    </w:p>
    <w:p w:rsidR="000E67C3" w:rsidRPr="000E67C3" w:rsidRDefault="000E67C3" w:rsidP="00FF149C">
      <w:pPr>
        <w:pStyle w:val="Balk3"/>
      </w:pPr>
      <w:bookmarkStart w:id="35" w:name="_Toc459712412"/>
      <w:r w:rsidRPr="000E67C3">
        <w:t>2.4.2. Kontrast Nefropatisinin Önlenmesi</w:t>
      </w:r>
      <w:bookmarkEnd w:id="35"/>
    </w:p>
    <w:p w:rsidR="000E67C3" w:rsidRPr="000E67C3" w:rsidRDefault="000E67C3" w:rsidP="000E67C3">
      <w:pPr>
        <w:autoSpaceDE w:val="0"/>
        <w:autoSpaceDN w:val="0"/>
        <w:adjustRightInd w:val="0"/>
        <w:rPr>
          <w:color w:val="0000FF"/>
          <w:szCs w:val="24"/>
        </w:rPr>
      </w:pPr>
      <w:r w:rsidRPr="000E67C3">
        <w:rPr>
          <w:color w:val="000000"/>
          <w:szCs w:val="24"/>
        </w:rPr>
        <w:tab/>
        <w:t>Kontrast nefropatisinin hastane yatışlarında uzama, artmış mortalite ve tedavi masraflarında artış ile ilişkili olduğu bilinmektedir (60, 64,65, 9). Kontrast nefropatisi insidansını azaltmaya yönelik farklı tür ve dozda kontrast madde kullanımı, %0.9 sodyum klorür ile hidrasyon, N-asetilsistein kullanımı, izotonik içinde sodyum bikarbonat kullanımı gibi bir takım uygulamalar denenmiştir (66-68, 33). Yakın zamanda N-asetilsistein ve sodyum bikarbonat tedavilerinin serbest radikal inhibisyonu üzerinden renal koruyucu etkileri preklinik çalışmalar ile gösterilmiş olup bazı kılavuzlarda izotonik salin ile hidrasyona ek olarak verilmesi önerilmektedir (69-71). N-asetilsistein ve sodyum bikarbonat tedavilerinin kontrast nefropatisi insidansını azalttığı, özellikle bazalde renal yetmezliği olan hastalarda etkili olduğu yönünde sonuçlanmış birçok çalışma ve meta analiz bulunmaktadır (72-74). Yeni raporlanan bir meta analizde N-asetilsistein ve sodyum bikarbonat tedavilerinin kombine ve tek başlarına ayrı ayrı uygulamaları karşılaştırılmış olup diyabetik, KBH'lı, perkütan koroner anjiografi yapılmış yüksek riskli hasta gruplarında bile birbine üstün olmadığı ortaya konulmuştur (75)</w:t>
      </w:r>
      <w:r w:rsidRPr="000E67C3">
        <w:rPr>
          <w:szCs w:val="24"/>
        </w:rPr>
        <w:t>.</w:t>
      </w:r>
    </w:p>
    <w:p w:rsidR="000E67C3" w:rsidRPr="000E67C3" w:rsidRDefault="000E67C3" w:rsidP="000E67C3">
      <w:pPr>
        <w:rPr>
          <w:color w:val="000000" w:themeColor="text1"/>
          <w:szCs w:val="24"/>
        </w:rPr>
      </w:pPr>
    </w:p>
    <w:p w:rsidR="000E67C3" w:rsidRPr="000E67C3" w:rsidRDefault="000E67C3" w:rsidP="00FF149C">
      <w:pPr>
        <w:pStyle w:val="Balk2"/>
      </w:pPr>
      <w:bookmarkStart w:id="36" w:name="_Toc459712413"/>
      <w:r w:rsidRPr="000E67C3">
        <w:t>2.5. Akut Böbrek Hasarının Prognozu</w:t>
      </w:r>
      <w:bookmarkEnd w:id="36"/>
      <w:r w:rsidRPr="000E67C3">
        <w:t xml:space="preserve"> </w:t>
      </w:r>
    </w:p>
    <w:p w:rsidR="000E67C3" w:rsidRPr="000E67C3" w:rsidRDefault="000E67C3" w:rsidP="000E67C3">
      <w:pPr>
        <w:pStyle w:val="Default"/>
        <w:jc w:val="both"/>
        <w:rPr>
          <w:rFonts w:ascii="Times New Roman" w:hAnsi="Times New Roman" w:cs="Times New Roman"/>
          <w:color w:val="000000" w:themeColor="text1"/>
        </w:rPr>
      </w:pPr>
      <w:r w:rsidRPr="000E67C3">
        <w:rPr>
          <w:rFonts w:ascii="Times New Roman" w:hAnsi="Times New Roman" w:cs="Times New Roman"/>
          <w:color w:val="000000" w:themeColor="text1"/>
        </w:rPr>
        <w:tab/>
        <w:t>Akut böbrek hasarında en önemli prognostik faktörler ABH şiddeti, yaş ve komorbid durumlardır. ABH gelişen hastaların % 5‘inde irreversible dönüşüm varken bu oran yaşlı hastalarda % 16‘lara yükselir (76).</w:t>
      </w:r>
    </w:p>
    <w:p w:rsidR="000E67C3" w:rsidRPr="000E67C3" w:rsidRDefault="000E67C3" w:rsidP="000E67C3">
      <w:pPr>
        <w:pStyle w:val="Default"/>
        <w:jc w:val="both"/>
        <w:rPr>
          <w:rFonts w:ascii="Times New Roman" w:hAnsi="Times New Roman" w:cs="Times New Roman"/>
          <w:color w:val="000000" w:themeColor="text1"/>
        </w:rPr>
      </w:pPr>
      <w:r w:rsidRPr="000E67C3">
        <w:rPr>
          <w:rFonts w:ascii="Times New Roman" w:hAnsi="Times New Roman" w:cs="Times New Roman"/>
          <w:color w:val="000000" w:themeColor="text1"/>
        </w:rPr>
        <w:tab/>
        <w:t xml:space="preserve">Yoğunbakım ünitesinde böbrek hastalığına bağlı mortaliteyi etkileyen en önemli faktörler mekanik ventilasyon gereksinimi, oligüri, inotrop desteği, multiorgan yetmezliği olarak belirtilmektedir (77). Bununla birlikte ileri yaş, erkek cinsiyet, altta yatan kronik </w:t>
      </w:r>
      <w:r w:rsidRPr="000E67C3">
        <w:rPr>
          <w:rFonts w:ascii="Times New Roman" w:hAnsi="Times New Roman" w:cs="Times New Roman"/>
          <w:color w:val="000000" w:themeColor="text1"/>
        </w:rPr>
        <w:lastRenderedPageBreak/>
        <w:t xml:space="preserve">renal yetmezlik, sepsis, kalp yetersizliği ve diabetes mellitus gibi kronik hastalıklar, aminoglikozid kullanımı, hipovolemi kötü prognostik faktörlerdir (26,68,78) . </w:t>
      </w:r>
    </w:p>
    <w:p w:rsidR="000E67C3" w:rsidRPr="000E67C3" w:rsidRDefault="000E67C3" w:rsidP="000E67C3">
      <w:pPr>
        <w:pStyle w:val="Default"/>
        <w:jc w:val="both"/>
        <w:rPr>
          <w:rFonts w:ascii="Times New Roman" w:hAnsi="Times New Roman" w:cs="Times New Roman"/>
          <w:color w:val="000000" w:themeColor="text1"/>
        </w:rPr>
      </w:pPr>
      <w:r w:rsidRPr="000E67C3">
        <w:rPr>
          <w:rFonts w:ascii="Times New Roman" w:hAnsi="Times New Roman" w:cs="Times New Roman"/>
          <w:color w:val="000000" w:themeColor="text1"/>
        </w:rPr>
        <w:tab/>
        <w:t>ABH günümüzde hala yüksek morbidite ve mortaliteye (% 20-70) sahiptir ve mortalite oranı sepsis ve RRT gerektiren hastalarda daha yüksektir (26,39,40,78) .</w:t>
      </w:r>
    </w:p>
    <w:p w:rsidR="00AE2D0D" w:rsidRDefault="000E67C3" w:rsidP="000E67C3">
      <w:pPr>
        <w:ind w:firstLine="709"/>
        <w:rPr>
          <w:szCs w:val="24"/>
        </w:rPr>
      </w:pPr>
      <w:r w:rsidRPr="000E67C3">
        <w:rPr>
          <w:color w:val="000000" w:themeColor="text1"/>
          <w:szCs w:val="24"/>
        </w:rPr>
        <w:t>Akut böbrek hasarının uzun dönem etkileri ise çok net olarak bilinmemektedir.</w:t>
      </w:r>
      <w:r w:rsidR="00AE2D0D" w:rsidRPr="00D75040">
        <w:rPr>
          <w:szCs w:val="24"/>
        </w:rPr>
        <w:t xml:space="preserve"> </w:t>
      </w:r>
    </w:p>
    <w:p w:rsidR="00AE2D0D" w:rsidRDefault="00AE2D0D">
      <w:pPr>
        <w:jc w:val="left"/>
        <w:rPr>
          <w:rFonts w:eastAsia="Times New Roman"/>
          <w:b/>
          <w:bCs/>
          <w:kern w:val="36"/>
          <w:sz w:val="28"/>
          <w:szCs w:val="48"/>
          <w:lang w:eastAsia="tr-TR"/>
        </w:rPr>
      </w:pPr>
      <w:bookmarkStart w:id="37" w:name="_Toc420428314"/>
      <w:r>
        <w:br w:type="page"/>
      </w:r>
    </w:p>
    <w:p w:rsidR="00AE2D0D" w:rsidRPr="001C086D" w:rsidRDefault="00AE2D0D" w:rsidP="00C63C52">
      <w:pPr>
        <w:pStyle w:val="Balk1"/>
        <w:rPr>
          <w:sz w:val="24"/>
          <w:szCs w:val="24"/>
        </w:rPr>
      </w:pPr>
      <w:bookmarkStart w:id="38" w:name="_Toc459712414"/>
      <w:bookmarkEnd w:id="37"/>
      <w:r>
        <w:lastRenderedPageBreak/>
        <w:t xml:space="preserve">3. </w:t>
      </w:r>
      <w:r w:rsidR="002F4D75">
        <w:t>GEREÇ</w:t>
      </w:r>
      <w:r>
        <w:t xml:space="preserve"> ve YÖNTEM</w:t>
      </w:r>
      <w:r w:rsidR="002F4D75">
        <w:t>LER</w:t>
      </w:r>
      <w:bookmarkEnd w:id="38"/>
    </w:p>
    <w:p w:rsidR="002F4D75" w:rsidRPr="00FB5F59" w:rsidRDefault="003E460C" w:rsidP="002F4D75">
      <w:pPr>
        <w:rPr>
          <w:color w:val="000000" w:themeColor="text1"/>
        </w:rPr>
      </w:pPr>
      <w:r>
        <w:rPr>
          <w:color w:val="000000" w:themeColor="text1"/>
        </w:rPr>
        <w:tab/>
      </w:r>
      <w:r w:rsidR="002F4D75" w:rsidRPr="00FB5F59">
        <w:rPr>
          <w:color w:val="000000" w:themeColor="text1"/>
        </w:rPr>
        <w:t xml:space="preserve">Başkent Üniversitesi Adana Uygulama ve Araştırma Hastanesi'ne 1 Ocak 2012 ile 1 Haziran 2015 tarihleri arasında acilden başvuran ve akut koroner sendrom tanısıyla koroner yoğun bakıma yatan 18 yaş ve üstündeki toplam 924 hasta retrospektif olarak tarandı. Hasta taraması, hastaların detaylı anamnez ve epikriz bilgilerine yer veren nucleus isimli elektronik dosya arşivleme sistemi üzerinden unstabil angina ve akut miyokardiyal enfarktüs tanıları girilerek sağlandı. Aynı hastanın aynı tanıyla tekrarlayan yatışlarında sadece son başvurusu dahil edildi. Aşağıda belirtilecek olan dışlama kriterlerine göre eleme yapılarak 321 hasta tez çalışmasına dahil edildi. Hemen hemen tüm akut koroner sendrom (AKS) tanılı hastalara koroner anjiografi uygulandığı için çalışmamıza koroner anjiografi yapılmayan hastaları dahil etmedik. </w:t>
      </w:r>
    </w:p>
    <w:p w:rsidR="002F4D75" w:rsidRDefault="002F4D75" w:rsidP="002F4D75">
      <w:pPr>
        <w:rPr>
          <w:b/>
          <w:color w:val="000000" w:themeColor="text1"/>
        </w:rPr>
      </w:pPr>
    </w:p>
    <w:p w:rsidR="002F4D75" w:rsidRPr="00FB5F59" w:rsidRDefault="002F4D75" w:rsidP="003E460C">
      <w:pPr>
        <w:pStyle w:val="Balk2"/>
      </w:pPr>
      <w:bookmarkStart w:id="39" w:name="_Toc459712415"/>
      <w:r w:rsidRPr="00FB5F59">
        <w:t>3.1</w:t>
      </w:r>
      <w:r>
        <w:t>.</w:t>
      </w:r>
      <w:r w:rsidRPr="00FB5F59">
        <w:t xml:space="preserve"> Çalışmadan Dışlanma Kriterleri</w:t>
      </w:r>
      <w:bookmarkEnd w:id="39"/>
    </w:p>
    <w:p w:rsidR="002F4D75" w:rsidRPr="00FB5F59" w:rsidRDefault="002F4D75" w:rsidP="002F4D75">
      <w:pPr>
        <w:rPr>
          <w:color w:val="000000" w:themeColor="text1"/>
        </w:rPr>
      </w:pPr>
      <w:r>
        <w:rPr>
          <w:color w:val="000000" w:themeColor="text1"/>
        </w:rPr>
        <w:tab/>
      </w:r>
      <w:r w:rsidRPr="00FB5F59">
        <w:rPr>
          <w:color w:val="000000" w:themeColor="text1"/>
        </w:rPr>
        <w:t>1.Rutin hemodiyaliz veya periton diyalizi hastaları</w:t>
      </w:r>
    </w:p>
    <w:p w:rsidR="002F4D75" w:rsidRPr="00FB5F59" w:rsidRDefault="002F4D75" w:rsidP="002F4D75">
      <w:pPr>
        <w:rPr>
          <w:color w:val="000000" w:themeColor="text1"/>
        </w:rPr>
      </w:pPr>
      <w:r>
        <w:rPr>
          <w:color w:val="000000" w:themeColor="text1"/>
        </w:rPr>
        <w:tab/>
      </w:r>
      <w:r w:rsidRPr="00FB5F59">
        <w:rPr>
          <w:color w:val="000000" w:themeColor="text1"/>
        </w:rPr>
        <w:t>2.Akut koroner sendrom kliniğiyle dış merkezde takip edilip sonradan merkezimize refere edilen hastalar</w:t>
      </w:r>
    </w:p>
    <w:p w:rsidR="002F4D75" w:rsidRPr="00FB5F59" w:rsidRDefault="002F4D75" w:rsidP="002F4D75">
      <w:pPr>
        <w:rPr>
          <w:color w:val="000000" w:themeColor="text1"/>
        </w:rPr>
      </w:pPr>
      <w:r>
        <w:rPr>
          <w:color w:val="000000" w:themeColor="text1"/>
        </w:rPr>
        <w:tab/>
      </w:r>
      <w:r w:rsidRPr="00FB5F59">
        <w:rPr>
          <w:color w:val="000000" w:themeColor="text1"/>
        </w:rPr>
        <w:t xml:space="preserve">3.Hastanede yatış süresi 72 saatten daha kısa olanlar </w:t>
      </w:r>
    </w:p>
    <w:p w:rsidR="002F4D75" w:rsidRPr="00FB5F59" w:rsidRDefault="002F4D75" w:rsidP="002F4D75">
      <w:pPr>
        <w:rPr>
          <w:color w:val="000000" w:themeColor="text1"/>
        </w:rPr>
      </w:pPr>
      <w:r>
        <w:rPr>
          <w:color w:val="000000" w:themeColor="text1"/>
        </w:rPr>
        <w:tab/>
      </w:r>
      <w:r w:rsidRPr="00FB5F59">
        <w:rPr>
          <w:color w:val="000000" w:themeColor="text1"/>
        </w:rPr>
        <w:t>4.Hastaneye yatış sonrası koroner anjiografi yapılmayan hasta grubu</w:t>
      </w:r>
    </w:p>
    <w:p w:rsidR="002F4D75" w:rsidRPr="00FB5F59" w:rsidRDefault="002F4D75" w:rsidP="002F4D75">
      <w:pPr>
        <w:rPr>
          <w:color w:val="000000" w:themeColor="text1"/>
        </w:rPr>
      </w:pPr>
      <w:r>
        <w:rPr>
          <w:color w:val="000000" w:themeColor="text1"/>
        </w:rPr>
        <w:tab/>
      </w:r>
      <w:r w:rsidRPr="00FB5F59">
        <w:rPr>
          <w:color w:val="000000" w:themeColor="text1"/>
        </w:rPr>
        <w:t>5.Yatışı süresince ağır enfeksiyon, sepsis, malignite tanısı alan hastalar</w:t>
      </w:r>
    </w:p>
    <w:p w:rsidR="002F4D75" w:rsidRPr="00FB5F59" w:rsidRDefault="002F4D75" w:rsidP="002F4D75">
      <w:pPr>
        <w:rPr>
          <w:color w:val="000000" w:themeColor="text1"/>
        </w:rPr>
      </w:pPr>
      <w:r>
        <w:rPr>
          <w:color w:val="000000" w:themeColor="text1"/>
        </w:rPr>
        <w:tab/>
      </w:r>
      <w:r w:rsidRPr="00FB5F59">
        <w:rPr>
          <w:color w:val="000000" w:themeColor="text1"/>
        </w:rPr>
        <w:t>6.18 yaş altı hastalar</w:t>
      </w:r>
    </w:p>
    <w:p w:rsidR="002F4D75" w:rsidRPr="00FB5F59" w:rsidRDefault="002F4D75" w:rsidP="002F4D75">
      <w:pPr>
        <w:rPr>
          <w:color w:val="000000" w:themeColor="text1"/>
        </w:rPr>
      </w:pPr>
      <w:r>
        <w:rPr>
          <w:color w:val="000000" w:themeColor="text1"/>
        </w:rPr>
        <w:tab/>
      </w:r>
      <w:r w:rsidRPr="00FB5F59">
        <w:rPr>
          <w:color w:val="000000" w:themeColor="text1"/>
        </w:rPr>
        <w:t xml:space="preserve">Çalışmamızda hastaların başvuru anı bazal kreatinin değeri ile ilk 48 saat içinde pik gösteren kreatinin düzeyleri; ek olarak koroner anjiografinin hemen öncesi ile sonrasındaki 72 saat içinde pik gösteren kreatinin düzeyleri karşılaştırıldı. İlk 48 saat kavramı ABH tanısı AKIN kriterlerine göre koyulduğu için gerekliydi, AKIN kriterlerini kullanan kontrast ilişkili ABH çalışmalarına dayanarak biz de bu yöntemi kullandık </w:t>
      </w:r>
      <w:r>
        <w:rPr>
          <w:color w:val="000000" w:themeColor="text1"/>
        </w:rPr>
        <w:t xml:space="preserve">(79). </w:t>
      </w:r>
      <w:r w:rsidRPr="00FB5F59">
        <w:rPr>
          <w:color w:val="000000" w:themeColor="text1"/>
        </w:rPr>
        <w:t xml:space="preserve"> </w:t>
      </w:r>
    </w:p>
    <w:p w:rsidR="002F4D75" w:rsidRDefault="002F4D75" w:rsidP="002F4D75">
      <w:pPr>
        <w:rPr>
          <w:color w:val="000000" w:themeColor="text1"/>
        </w:rPr>
      </w:pPr>
      <w:r>
        <w:rPr>
          <w:color w:val="000000" w:themeColor="text1"/>
        </w:rPr>
        <w:tab/>
      </w:r>
      <w:r w:rsidRPr="00FB5F59">
        <w:rPr>
          <w:color w:val="000000" w:themeColor="text1"/>
        </w:rPr>
        <w:t xml:space="preserve">Kontrast nefropati tanısında bu sürenin kontrast sonrası 72. saate kadar geciken kontrast nefropatilerini kapsamayacağı öngörüldü. AKIN kriterlerini süre açısından modifiye ederek kullanan bir çalışmayı baz alarak süre açısından 72 saate modifiye ettik </w:t>
      </w:r>
      <w:r>
        <w:rPr>
          <w:color w:val="000000" w:themeColor="text1"/>
        </w:rPr>
        <w:t>(80).</w:t>
      </w:r>
    </w:p>
    <w:p w:rsidR="002F4D75" w:rsidRPr="00FB5F59" w:rsidRDefault="002F4D75" w:rsidP="002F4D75">
      <w:pPr>
        <w:rPr>
          <w:color w:val="000000" w:themeColor="text1"/>
        </w:rPr>
      </w:pPr>
      <w:r>
        <w:rPr>
          <w:color w:val="000000" w:themeColor="text1"/>
        </w:rPr>
        <w:tab/>
      </w:r>
      <w:r w:rsidRPr="00FB5F59">
        <w:rPr>
          <w:color w:val="000000" w:themeColor="text1"/>
        </w:rPr>
        <w:t>Kontrast öncesi ABH'da normal AKIN kriterlerini kullanırken sadece kontrast ilişkili ABH hastalarında modifiye halini kullandık.</w:t>
      </w:r>
    </w:p>
    <w:p w:rsidR="002F4D75" w:rsidRPr="00FB5F59" w:rsidRDefault="002F4D75" w:rsidP="002F4D75">
      <w:pPr>
        <w:rPr>
          <w:color w:val="000000" w:themeColor="text1"/>
        </w:rPr>
      </w:pPr>
      <w:r>
        <w:rPr>
          <w:color w:val="000000" w:themeColor="text1"/>
        </w:rPr>
        <w:tab/>
      </w:r>
      <w:r w:rsidRPr="00FB5F59">
        <w:rPr>
          <w:color w:val="000000" w:themeColor="text1"/>
        </w:rPr>
        <w:t xml:space="preserve">Bu verilere göre AKIN kriterleri kullanılarak tüm akut böbrek hasarı gelişen hastalar total ABH olanlar ve olmayanlar diye 2 gruba ayrıldı. Kontrast madde almadan </w:t>
      </w:r>
      <w:r w:rsidRPr="00FB5F59">
        <w:rPr>
          <w:color w:val="000000" w:themeColor="text1"/>
        </w:rPr>
        <w:lastRenderedPageBreak/>
        <w:t>önce ABH gelişenler de kontrast öncesi ABH olanlar ve olmayanlar olarak 2 gruba ayrıldı. Bu gruplar yaş, cinsiyet, evde ve hastanede kullandığı ilaçlar (asetil salisilik asit, furosemid, ACEi ve ARB, spironalakton, statin), komorbiditeler (KBH, daha önceden tekrarlayan akut koroner sendrom öyküsü, geçirilmiş SVO (serebrovasküler olay), hastanede yeni gelişen SVO, sigara öyküsü, DM (diabetes mellitus), HT (hipertansiyon), anemi), major kanamalar, eritrosit süspansiyonu transfüzyonu ihtiyacı, ölümcül aritmiler (VF</w:t>
      </w:r>
      <w:r w:rsidR="00D37588">
        <w:rPr>
          <w:color w:val="000000" w:themeColor="text1"/>
        </w:rPr>
        <w:t xml:space="preserve"> (vetriküler fibrilasyon)</w:t>
      </w:r>
      <w:r w:rsidRPr="00FB5F59">
        <w:rPr>
          <w:color w:val="000000" w:themeColor="text1"/>
        </w:rPr>
        <w:t>, VT</w:t>
      </w:r>
      <w:r w:rsidR="00D37588">
        <w:rPr>
          <w:color w:val="000000" w:themeColor="text1"/>
        </w:rPr>
        <w:t xml:space="preserve"> (ventriküler taşikardi)</w:t>
      </w:r>
      <w:r w:rsidRPr="00FB5F59">
        <w:rPr>
          <w:color w:val="000000" w:themeColor="text1"/>
        </w:rPr>
        <w:t>, kronik ve yeni gelişen AF</w:t>
      </w:r>
      <w:r w:rsidR="00D37588">
        <w:rPr>
          <w:color w:val="000000" w:themeColor="text1"/>
        </w:rPr>
        <w:t xml:space="preserve"> (atriyal fibrilasyon)</w:t>
      </w:r>
      <w:r w:rsidRPr="00FB5F59">
        <w:rPr>
          <w:color w:val="000000" w:themeColor="text1"/>
        </w:rPr>
        <w:t xml:space="preserve">), kardiyojenik şok gibi risk faktörleri açısından karşılaştırılarak ABH’nin prediktörleri belirlenmeye çalışıldı. </w:t>
      </w:r>
    </w:p>
    <w:p w:rsidR="002F4D75" w:rsidRPr="00FB5F59" w:rsidRDefault="002F4D75" w:rsidP="002F4D75">
      <w:pPr>
        <w:rPr>
          <w:color w:val="000000" w:themeColor="text1"/>
        </w:rPr>
      </w:pPr>
      <w:r>
        <w:rPr>
          <w:color w:val="000000" w:themeColor="text1"/>
        </w:rPr>
        <w:tab/>
      </w:r>
      <w:r w:rsidRPr="00FB5F59">
        <w:rPr>
          <w:color w:val="000000" w:themeColor="text1"/>
        </w:rPr>
        <w:t xml:space="preserve">AKS'de total ABH gelişimi ve kontrast öncesi ABH gelişimininde rol oynayan risk faktörleri ayrı ayrı analiz edilerek karşılaştırıldı. Total ABH ve kontrast öncesi ABH olanlarda hastanede yatış süresi ve hastane mortalitesi ile olan ilişki ayrı ayrı değerlendirildi.  </w:t>
      </w:r>
    </w:p>
    <w:p w:rsidR="002F4D75" w:rsidRPr="00FB5F59" w:rsidRDefault="002F4D75" w:rsidP="002F4D75">
      <w:pPr>
        <w:rPr>
          <w:color w:val="000000" w:themeColor="text1"/>
        </w:rPr>
      </w:pPr>
      <w:r>
        <w:rPr>
          <w:color w:val="000000" w:themeColor="text1"/>
        </w:rPr>
        <w:tab/>
      </w:r>
      <w:r w:rsidRPr="00FB5F59">
        <w:rPr>
          <w:color w:val="000000" w:themeColor="text1"/>
        </w:rPr>
        <w:t xml:space="preserve">Her hastanın bazal ve takip kan üre azotu (BUN), serum kreatinin, sodyum, potasyum düzeyleri ve lipid profili (LDL, HDL, Total kolesterol), TSH ve bazal hemoglobin düzeyi kaydedildi. Laboratuvar verileri standart laboratuvar yöntemleri kullanılarak sonuçlanmıştır (Roche Hitachi </w:t>
      </w:r>
      <w:r w:rsidR="003C59C9">
        <w:rPr>
          <w:color w:val="000000" w:themeColor="text1"/>
        </w:rPr>
        <w:t>analyzer 902, Indianapolis, IN)</w:t>
      </w:r>
      <w:r w:rsidRPr="00FB5F59">
        <w:rPr>
          <w:color w:val="000000" w:themeColor="text1"/>
        </w:rPr>
        <w:t>. Serum kreatinin düzeyi yatışı boyunca günlük takip edildi.</w:t>
      </w:r>
    </w:p>
    <w:p w:rsidR="002F4D75" w:rsidRPr="00FB5F59" w:rsidRDefault="002F4D75" w:rsidP="002F4D75">
      <w:pPr>
        <w:rPr>
          <w:color w:val="000000" w:themeColor="text1"/>
        </w:rPr>
      </w:pPr>
      <w:r>
        <w:rPr>
          <w:color w:val="000000" w:themeColor="text1"/>
        </w:rPr>
        <w:tab/>
      </w:r>
      <w:r w:rsidRPr="00FB5F59">
        <w:rPr>
          <w:color w:val="000000" w:themeColor="text1"/>
        </w:rPr>
        <w:t>Her hastaya yatıştan hemen sonra Vivid 7</w:t>
      </w:r>
      <w:r w:rsidR="003C59C9">
        <w:rPr>
          <w:color w:val="000000" w:themeColor="text1"/>
        </w:rPr>
        <w:t xml:space="preserve"> EKO(General Electric, 2.5–5MHz</w:t>
      </w:r>
      <w:r w:rsidRPr="00FB5F59">
        <w:rPr>
          <w:color w:val="000000" w:themeColor="text1"/>
        </w:rPr>
        <w:t xml:space="preserve">, Milwaukee, WI) ile değerlendirme yapılarak hastaların PAB (pulmoner arteryel basınç) ve EF (ejeksiyon fraksiyonu) düzeyleri kaydedildi. </w:t>
      </w:r>
    </w:p>
    <w:p w:rsidR="002F4D75" w:rsidRPr="00FB5F59" w:rsidRDefault="002F4D75" w:rsidP="002F4D75">
      <w:pPr>
        <w:rPr>
          <w:color w:val="000000" w:themeColor="text1"/>
        </w:rPr>
      </w:pPr>
      <w:r>
        <w:rPr>
          <w:color w:val="000000" w:themeColor="text1"/>
        </w:rPr>
        <w:tab/>
      </w:r>
      <w:r w:rsidRPr="00FB5F59">
        <w:rPr>
          <w:color w:val="000000" w:themeColor="text1"/>
        </w:rPr>
        <w:t xml:space="preserve">Bazal kreatinin, cinsiyet, yaş ve ırktan oluşan dört değişken faktör içeren CKD-EPI formülüne göre bazal GFR düzeyi hesaplandı. Hesaplanan bazal GFR düzeyi &lt;60 mL/dk olan ve takip boyunca da benzer şekilde seyreden hastalar, kronik böbrek hastası olarak kabul edildi </w:t>
      </w:r>
      <w:r>
        <w:rPr>
          <w:color w:val="000000" w:themeColor="text1"/>
        </w:rPr>
        <w:t>(81).</w:t>
      </w:r>
      <w:r w:rsidRPr="00FB5F59">
        <w:rPr>
          <w:color w:val="000000" w:themeColor="text1"/>
        </w:rPr>
        <w:t xml:space="preserve">  </w:t>
      </w:r>
    </w:p>
    <w:p w:rsidR="002F4D75" w:rsidRDefault="002F4D75" w:rsidP="002F4D75">
      <w:pPr>
        <w:rPr>
          <w:b/>
          <w:color w:val="000000" w:themeColor="text1"/>
        </w:rPr>
      </w:pPr>
    </w:p>
    <w:p w:rsidR="002F4D75" w:rsidRPr="00FB5F59" w:rsidRDefault="002F4D75" w:rsidP="003E460C">
      <w:pPr>
        <w:pStyle w:val="Balk2"/>
      </w:pPr>
      <w:bookmarkStart w:id="40" w:name="_Toc459712416"/>
      <w:r w:rsidRPr="00FB5F59">
        <w:t>3.2</w:t>
      </w:r>
      <w:r>
        <w:t>.</w:t>
      </w:r>
      <w:r w:rsidRPr="00FB5F59">
        <w:t xml:space="preserve"> Tanımlar</w:t>
      </w:r>
      <w:bookmarkEnd w:id="40"/>
      <w:r w:rsidRPr="00FB5F59">
        <w:t xml:space="preserve"> </w:t>
      </w:r>
    </w:p>
    <w:p w:rsidR="002F4D75" w:rsidRPr="00FB5F59" w:rsidRDefault="002F4D75" w:rsidP="002F4D75">
      <w:pPr>
        <w:rPr>
          <w:color w:val="000000" w:themeColor="text1"/>
        </w:rPr>
      </w:pPr>
      <w:r>
        <w:rPr>
          <w:color w:val="000000" w:themeColor="text1"/>
        </w:rPr>
        <w:tab/>
      </w:r>
      <w:r w:rsidRPr="00FB5F59">
        <w:rPr>
          <w:color w:val="000000" w:themeColor="text1"/>
        </w:rPr>
        <w:t xml:space="preserve">DM için; daha önceden öyküsü olan ve antidiyabetik ilaç kullananlar veya yoğun bakımda ADA’ya göre tanı koyulan hastalar seçildi </w:t>
      </w:r>
      <w:r>
        <w:rPr>
          <w:color w:val="000000" w:themeColor="text1"/>
        </w:rPr>
        <w:t>(82).</w:t>
      </w:r>
      <w:r w:rsidRPr="00FB5F59">
        <w:rPr>
          <w:color w:val="000000" w:themeColor="text1"/>
        </w:rPr>
        <w:t xml:space="preserve"> </w:t>
      </w:r>
    </w:p>
    <w:p w:rsidR="002F4D75" w:rsidRPr="00FB5F59" w:rsidRDefault="002F4D75" w:rsidP="002F4D75">
      <w:pPr>
        <w:rPr>
          <w:color w:val="000000" w:themeColor="text1"/>
        </w:rPr>
      </w:pPr>
      <w:r>
        <w:rPr>
          <w:color w:val="000000" w:themeColor="text1"/>
        </w:rPr>
        <w:tab/>
      </w:r>
      <w:r w:rsidRPr="00FB5F59">
        <w:rPr>
          <w:color w:val="000000" w:themeColor="text1"/>
        </w:rPr>
        <w:t xml:space="preserve">HT için; antihipertansif ilaç kullanıyor olması ve Avrupa Kardiyoloji ve Hipertansiyon Derneklerinin (ESC/ESH) 2013 yılındaki kılavuzuna göre kan basıncı ≥140/90 mmHg olan değerler kabul edildi </w:t>
      </w:r>
      <w:r>
        <w:rPr>
          <w:color w:val="000000" w:themeColor="text1"/>
        </w:rPr>
        <w:t>(83).</w:t>
      </w:r>
    </w:p>
    <w:p w:rsidR="002F4D75" w:rsidRPr="00FB5F59" w:rsidRDefault="002F4D75" w:rsidP="002F4D75">
      <w:pPr>
        <w:rPr>
          <w:color w:val="000000" w:themeColor="text1"/>
        </w:rPr>
      </w:pPr>
      <w:r>
        <w:rPr>
          <w:color w:val="000000" w:themeColor="text1"/>
        </w:rPr>
        <w:tab/>
      </w:r>
      <w:r w:rsidRPr="00FB5F59">
        <w:rPr>
          <w:color w:val="000000" w:themeColor="text1"/>
        </w:rPr>
        <w:t xml:space="preserve">Anemi için; hemoglobin konsantrasyonunun kadınlarda &lt; 12 </w:t>
      </w:r>
      <w:r>
        <w:rPr>
          <w:color w:val="000000" w:themeColor="text1"/>
        </w:rPr>
        <w:t>g/d</w:t>
      </w:r>
      <w:r w:rsidR="003E460C">
        <w:rPr>
          <w:color w:val="000000" w:themeColor="text1"/>
        </w:rPr>
        <w:t>L</w:t>
      </w:r>
      <w:r>
        <w:rPr>
          <w:color w:val="000000" w:themeColor="text1"/>
        </w:rPr>
        <w:t xml:space="preserve">, erkeklerde &lt; 14 </w:t>
      </w:r>
      <w:r w:rsidRPr="00FB5F59">
        <w:rPr>
          <w:color w:val="000000" w:themeColor="text1"/>
        </w:rPr>
        <w:t>g/d</w:t>
      </w:r>
      <w:r w:rsidR="003E460C">
        <w:rPr>
          <w:color w:val="000000" w:themeColor="text1"/>
        </w:rPr>
        <w:t>L</w:t>
      </w:r>
      <w:r w:rsidRPr="00FB5F59">
        <w:rPr>
          <w:color w:val="000000" w:themeColor="text1"/>
        </w:rPr>
        <w:t xml:space="preserve"> olması kabul edildi.</w:t>
      </w:r>
    </w:p>
    <w:p w:rsidR="002F4D75" w:rsidRPr="00FB5F59" w:rsidRDefault="002F4D75" w:rsidP="002F4D75">
      <w:pPr>
        <w:rPr>
          <w:color w:val="000000" w:themeColor="text1"/>
        </w:rPr>
      </w:pPr>
      <w:r>
        <w:rPr>
          <w:color w:val="000000" w:themeColor="text1"/>
        </w:rPr>
        <w:lastRenderedPageBreak/>
        <w:tab/>
      </w:r>
      <w:r w:rsidRPr="00FB5F59">
        <w:rPr>
          <w:color w:val="000000" w:themeColor="text1"/>
        </w:rPr>
        <w:t xml:space="preserve">SVO için; yoğun bakımda yattığı esnada iskemik veya hemorajik infarkt geçiren ve/veya daha önce öyküsü olan hastalar değerlendirmeye alındı. </w:t>
      </w:r>
    </w:p>
    <w:p w:rsidR="002F4D75" w:rsidRPr="00FB5F59" w:rsidRDefault="002F4D75" w:rsidP="002F4D75">
      <w:pPr>
        <w:rPr>
          <w:color w:val="000000" w:themeColor="text1"/>
        </w:rPr>
      </w:pPr>
      <w:r>
        <w:rPr>
          <w:color w:val="000000" w:themeColor="text1"/>
        </w:rPr>
        <w:tab/>
      </w:r>
      <w:r w:rsidRPr="00FB5F59">
        <w:rPr>
          <w:color w:val="000000" w:themeColor="text1"/>
        </w:rPr>
        <w:t>HL için; LDL≥140 mg/d</w:t>
      </w:r>
      <w:r w:rsidR="003E460C">
        <w:rPr>
          <w:color w:val="000000" w:themeColor="text1"/>
        </w:rPr>
        <w:t>L</w:t>
      </w:r>
      <w:r w:rsidRPr="00FB5F59">
        <w:rPr>
          <w:color w:val="000000" w:themeColor="text1"/>
        </w:rPr>
        <w:t>, TG≥150 mg/d</w:t>
      </w:r>
      <w:r w:rsidR="003E460C">
        <w:rPr>
          <w:color w:val="000000" w:themeColor="text1"/>
        </w:rPr>
        <w:t>L</w:t>
      </w:r>
      <w:r w:rsidRPr="00FB5F59">
        <w:rPr>
          <w:color w:val="000000" w:themeColor="text1"/>
        </w:rPr>
        <w:t xml:space="preserve">, veya antihiperlipidemik ilaç kullanıyor olması </w:t>
      </w:r>
    </w:p>
    <w:p w:rsidR="002F4D75" w:rsidRPr="00FB5F59" w:rsidRDefault="002F4D75" w:rsidP="002F4D75">
      <w:pPr>
        <w:rPr>
          <w:color w:val="000000" w:themeColor="text1"/>
        </w:rPr>
      </w:pPr>
      <w:r>
        <w:rPr>
          <w:color w:val="000000" w:themeColor="text1"/>
        </w:rPr>
        <w:tab/>
      </w:r>
      <w:r w:rsidRPr="00FB5F59">
        <w:rPr>
          <w:color w:val="000000" w:themeColor="text1"/>
        </w:rPr>
        <w:t xml:space="preserve">Tekrarlayan akut koroner sendrom için; ömrü boyunca bir defadan fazla akut koroner sendrom gelişen hastalar değerlendirmeye alındı. </w:t>
      </w:r>
    </w:p>
    <w:p w:rsidR="002F4D75" w:rsidRPr="00FB5F59" w:rsidRDefault="002F4D75" w:rsidP="002F4D75">
      <w:pPr>
        <w:rPr>
          <w:color w:val="000000" w:themeColor="text1"/>
        </w:rPr>
      </w:pPr>
      <w:r>
        <w:rPr>
          <w:color w:val="000000" w:themeColor="text1"/>
        </w:rPr>
        <w:tab/>
      </w:r>
      <w:r w:rsidRPr="00FB5F59">
        <w:rPr>
          <w:color w:val="000000" w:themeColor="text1"/>
        </w:rPr>
        <w:t>Hipotansiyon için; koroner yoğun bakımda kan basıncı takip sırasında &lt;90/60 mmHg olan hastalar değerlendirmeye alındı.</w:t>
      </w:r>
    </w:p>
    <w:p w:rsidR="002F4D75" w:rsidRPr="00FB5F59" w:rsidRDefault="002F4D75" w:rsidP="002F4D75">
      <w:pPr>
        <w:rPr>
          <w:color w:val="000000" w:themeColor="text1"/>
        </w:rPr>
      </w:pPr>
      <w:r>
        <w:rPr>
          <w:color w:val="000000" w:themeColor="text1"/>
        </w:rPr>
        <w:tab/>
      </w:r>
      <w:r w:rsidRPr="00FB5F59">
        <w:rPr>
          <w:color w:val="000000" w:themeColor="text1"/>
        </w:rPr>
        <w:t>Kardiyojenik şok için 30 dakikadan uzun süre sistolik arteryel kan basıncının &lt;90 mm</w:t>
      </w:r>
      <w:r w:rsidR="00D37588">
        <w:rPr>
          <w:color w:val="000000" w:themeColor="text1"/>
        </w:rPr>
        <w:t>H</w:t>
      </w:r>
      <w:r w:rsidRPr="00FB5F59">
        <w:rPr>
          <w:color w:val="000000" w:themeColor="text1"/>
        </w:rPr>
        <w:t>g olması veya parenteral pozitif inotrop, vazopressör ajan gibi medikal, intraaortik balon pompası gibi mekanik desteğe ihtiyaç duyulması değerlendirmeye alındı.</w:t>
      </w:r>
    </w:p>
    <w:p w:rsidR="002F4D75" w:rsidRPr="00FB5F59" w:rsidRDefault="002F4D75" w:rsidP="002F4D75">
      <w:pPr>
        <w:rPr>
          <w:color w:val="000000" w:themeColor="text1"/>
        </w:rPr>
      </w:pPr>
      <w:r>
        <w:rPr>
          <w:color w:val="000000" w:themeColor="text1"/>
        </w:rPr>
        <w:tab/>
      </w:r>
      <w:r w:rsidRPr="00FB5F59">
        <w:rPr>
          <w:color w:val="000000" w:themeColor="text1"/>
        </w:rPr>
        <w:t xml:space="preserve">Elektrolit bozuklukları: Hipopotasemi serum potasyum değerinin &lt; 3,5 mEq/L olması, hiperpotasemi serum potasyum değerinin &gt; 5,5 mEq/L olması, hiponatremi serum sodyum değerinin &lt; 135 mEq/L olması  </w:t>
      </w:r>
    </w:p>
    <w:p w:rsidR="002F4D75" w:rsidRPr="00FB5F59" w:rsidRDefault="002F4D75" w:rsidP="002F4D75">
      <w:pPr>
        <w:rPr>
          <w:color w:val="000000" w:themeColor="text1"/>
        </w:rPr>
      </w:pPr>
      <w:r>
        <w:rPr>
          <w:color w:val="000000" w:themeColor="text1"/>
        </w:rPr>
        <w:tab/>
      </w:r>
      <w:r w:rsidRPr="00FB5F59">
        <w:rPr>
          <w:color w:val="000000" w:themeColor="text1"/>
        </w:rPr>
        <w:t xml:space="preserve">AKIN kriterlerine göre ABH, </w:t>
      </w:r>
      <w:r w:rsidRPr="00FB5F59">
        <w:rPr>
          <w:b/>
          <w:bCs/>
          <w:color w:val="000000" w:themeColor="text1"/>
        </w:rPr>
        <w:t>evre 1</w:t>
      </w:r>
      <w:r w:rsidRPr="00FB5F59">
        <w:rPr>
          <w:color w:val="000000" w:themeColor="text1"/>
        </w:rPr>
        <w:t xml:space="preserve"> 48 saat içinde sKr düzeyinde </w:t>
      </w:r>
      <m:oMath>
        <m:r>
          <m:rPr>
            <m:sty m:val="p"/>
          </m:rPr>
          <w:rPr>
            <w:rFonts w:ascii="Cambria Math" w:hAnsi="Cambria Math"/>
            <w:color w:val="000000" w:themeColor="text1"/>
          </w:rPr>
          <m:t>≥</m:t>
        </m:r>
      </m:oMath>
      <w:r w:rsidRPr="00FB5F59">
        <w:rPr>
          <w:color w:val="000000" w:themeColor="text1"/>
        </w:rPr>
        <w:t>0,3mg/d</w:t>
      </w:r>
      <w:r w:rsidR="003E460C">
        <w:rPr>
          <w:color w:val="000000" w:themeColor="text1"/>
        </w:rPr>
        <w:t>L</w:t>
      </w:r>
      <w:r w:rsidRPr="00FB5F59">
        <w:rPr>
          <w:color w:val="000000" w:themeColor="text1"/>
        </w:rPr>
        <w:t xml:space="preserve"> artış olması ya da sKr düzeyinin </w:t>
      </w:r>
      <m:oMath>
        <m:r>
          <m:rPr>
            <m:sty m:val="p"/>
          </m:rPr>
          <w:rPr>
            <w:rFonts w:ascii="Cambria Math" w:hAnsi="Cambria Math"/>
            <w:color w:val="000000" w:themeColor="text1"/>
          </w:rPr>
          <m:t>≥</m:t>
        </m:r>
      </m:oMath>
      <w:r w:rsidRPr="00FB5F59">
        <w:rPr>
          <w:color w:val="000000" w:themeColor="text1"/>
        </w:rPr>
        <w:t xml:space="preserve">1,5 ve ≤2 kat artışı ya da idrar çıkışının 6 saat süreyle 0,5ml/kg/saat altına düşmesi; </w:t>
      </w:r>
      <w:r w:rsidRPr="00FB5F59">
        <w:rPr>
          <w:b/>
          <w:bCs/>
          <w:color w:val="000000" w:themeColor="text1"/>
        </w:rPr>
        <w:t>evre 2</w:t>
      </w:r>
      <w:r w:rsidRPr="00FB5F59">
        <w:rPr>
          <w:color w:val="000000" w:themeColor="text1"/>
        </w:rPr>
        <w:t xml:space="preserve"> sKr düzeyinin </w:t>
      </w:r>
      <m:oMath>
        <m:r>
          <w:rPr>
            <w:rFonts w:ascii="Cambria Math"/>
            <w:color w:val="000000" w:themeColor="text1"/>
          </w:rPr>
          <m:t>&gt;</m:t>
        </m:r>
      </m:oMath>
      <w:r w:rsidRPr="00FB5F59">
        <w:rPr>
          <w:color w:val="000000" w:themeColor="text1"/>
        </w:rPr>
        <w:t xml:space="preserve">2 ve ≤3 kat artışı ya da idrar çıkışının 12 saat süreyle 0,5ml/kg/saat altına düşmesi; </w:t>
      </w:r>
      <w:r w:rsidRPr="00FB5F59">
        <w:rPr>
          <w:b/>
          <w:bCs/>
          <w:color w:val="000000" w:themeColor="text1"/>
        </w:rPr>
        <w:t xml:space="preserve">evre 3 </w:t>
      </w:r>
      <w:r w:rsidRPr="00FB5F59">
        <w:rPr>
          <w:color w:val="000000" w:themeColor="text1"/>
        </w:rPr>
        <w:t xml:space="preserve">sKr düzeyinin &gt;3 kat artması ya da sKr düzeyinin </w:t>
      </w:r>
      <m:oMath>
        <m:r>
          <m:rPr>
            <m:sty m:val="p"/>
          </m:rPr>
          <w:rPr>
            <w:rFonts w:ascii="Cambria Math" w:hAnsi="Cambria Math"/>
            <w:color w:val="000000" w:themeColor="text1"/>
          </w:rPr>
          <m:t>≥</m:t>
        </m:r>
      </m:oMath>
      <w:r w:rsidRPr="00FB5F59">
        <w:rPr>
          <w:color w:val="000000" w:themeColor="text1"/>
        </w:rPr>
        <w:t>4mg/d</w:t>
      </w:r>
      <w:r w:rsidR="003E460C">
        <w:rPr>
          <w:color w:val="000000" w:themeColor="text1"/>
        </w:rPr>
        <w:t>L</w:t>
      </w:r>
      <w:r w:rsidRPr="00FB5F59">
        <w:rPr>
          <w:color w:val="000000" w:themeColor="text1"/>
        </w:rPr>
        <w:t xml:space="preserve"> olmasıyla birlikte sKr düzeyinde </w:t>
      </w:r>
      <m:oMath>
        <m:r>
          <m:rPr>
            <m:sty m:val="p"/>
          </m:rPr>
          <w:rPr>
            <w:rFonts w:ascii="Cambria Math" w:hAnsi="Cambria Math"/>
            <w:color w:val="000000" w:themeColor="text1"/>
          </w:rPr>
          <m:t>≥</m:t>
        </m:r>
      </m:oMath>
      <w:r w:rsidRPr="00FB5F59">
        <w:rPr>
          <w:color w:val="000000" w:themeColor="text1"/>
        </w:rPr>
        <w:t>0,5 mg/d</w:t>
      </w:r>
      <w:r w:rsidR="003E460C">
        <w:rPr>
          <w:color w:val="000000" w:themeColor="text1"/>
        </w:rPr>
        <w:t>L</w:t>
      </w:r>
      <w:r w:rsidRPr="00FB5F59">
        <w:rPr>
          <w:color w:val="000000" w:themeColor="text1"/>
        </w:rPr>
        <w:t xml:space="preserve"> ani artış olması ya da renal replasman ihtiyacı olması, idrar miktarına göre ise idrar çıkışının 24 saat boyunca 0,3ml/kg/saat altında olması ya da 12 saat süreyle anüri olması olarak sın</w:t>
      </w:r>
      <w:r>
        <w:rPr>
          <w:color w:val="000000" w:themeColor="text1"/>
        </w:rPr>
        <w:t>ıflandırılmaktadır (</w:t>
      </w:r>
      <w:r w:rsidRPr="00FB5F59">
        <w:rPr>
          <w:color w:val="000000" w:themeColor="text1"/>
        </w:rPr>
        <w:t xml:space="preserve">6). </w:t>
      </w:r>
    </w:p>
    <w:p w:rsidR="002F4D75" w:rsidRPr="00FB5F59" w:rsidRDefault="002F4D75" w:rsidP="002F4D75">
      <w:pPr>
        <w:rPr>
          <w:color w:val="000000" w:themeColor="text1"/>
        </w:rPr>
      </w:pPr>
      <w:r>
        <w:rPr>
          <w:color w:val="000000" w:themeColor="text1"/>
        </w:rPr>
        <w:tab/>
      </w:r>
      <w:r w:rsidRPr="00FB5F59">
        <w:rPr>
          <w:color w:val="000000" w:themeColor="text1"/>
        </w:rPr>
        <w:t xml:space="preserve">AKIN kriterlerinin ABH insidansı saptanırken RIFLE kriterine göre daha başarılı olduğu ve daha fazla vaka yakaladığını destekleyen birçok çalışma mevcuttur. Bu karşılaştırmalı çalışmalar çoğunlukla kritik hasta gruplarında yapılmıştır, akut koroner sendromlu hastalarda RIFLE ve AKIN kriterlerini karşılaştıran net bir veriye rastlanmamıştır. </w:t>
      </w:r>
    </w:p>
    <w:p w:rsidR="002F4D75" w:rsidRPr="00FB5F59" w:rsidRDefault="002F4D75" w:rsidP="002F4D75">
      <w:pPr>
        <w:rPr>
          <w:color w:val="000000" w:themeColor="text1"/>
        </w:rPr>
      </w:pPr>
      <w:r>
        <w:rPr>
          <w:color w:val="000000" w:themeColor="text1"/>
        </w:rPr>
        <w:tab/>
      </w:r>
      <w:r w:rsidRPr="00FB5F59">
        <w:rPr>
          <w:color w:val="000000" w:themeColor="text1"/>
        </w:rPr>
        <w:t>Tayland'da 300 vakalık bir çalışmada AKIN kriterlerinin hem ABH insidansını saptamada hem de mortaliteyi öngörmede RIFLE kriterlerine göre daha iyi olduğu saptanmıştır</w:t>
      </w:r>
      <w:r>
        <w:rPr>
          <w:color w:val="000000" w:themeColor="text1"/>
        </w:rPr>
        <w:t xml:space="preserve"> (84). </w:t>
      </w:r>
    </w:p>
    <w:p w:rsidR="002F4D75" w:rsidRDefault="002F4D75" w:rsidP="002F4D75">
      <w:pPr>
        <w:rPr>
          <w:color w:val="000000" w:themeColor="text1"/>
        </w:rPr>
      </w:pPr>
      <w:r>
        <w:rPr>
          <w:color w:val="000000" w:themeColor="text1"/>
        </w:rPr>
        <w:tab/>
      </w:r>
      <w:r w:rsidRPr="00FB5F59">
        <w:rPr>
          <w:color w:val="000000" w:themeColor="text1"/>
        </w:rPr>
        <w:t>Portekiz'de 662 vakalık, Çin'de 1036 vakalık çalışmada ise AKIN kriterlerinin ABH insidansını saptamada RIFLE kriterlerine göre daha duyarlı olduğu ancak mortaliteyi öngörmede RIFLE 'a göre anlamlı farklılık göstermediği tespit edilmiştir</w:t>
      </w:r>
      <w:r>
        <w:rPr>
          <w:color w:val="000000" w:themeColor="text1"/>
        </w:rPr>
        <w:t xml:space="preserve"> (48,85).</w:t>
      </w:r>
    </w:p>
    <w:p w:rsidR="002F4D75" w:rsidRPr="00FB5F59" w:rsidRDefault="002F4D75" w:rsidP="002F4D75">
      <w:pPr>
        <w:rPr>
          <w:color w:val="000000" w:themeColor="text1"/>
        </w:rPr>
      </w:pPr>
      <w:r>
        <w:rPr>
          <w:color w:val="000000" w:themeColor="text1"/>
        </w:rPr>
        <w:lastRenderedPageBreak/>
        <w:tab/>
      </w:r>
      <w:r w:rsidRPr="00FB5F59">
        <w:rPr>
          <w:color w:val="000000" w:themeColor="text1"/>
        </w:rPr>
        <w:t xml:space="preserve">AKIN ve RIFLE kriterlerini kritik hasta gruplarında karşılaştıran 19 çalışmayı dahil eden bir meta-analizde de aynı şekilde AKIN kriterlerinin ABH insidansını saptamada RIFLE kriterlerine göre daha duyarlı olduğu ancak mortaliteyi öngörmede anlamlı farklılık göstermediği tespit edilmiştir </w:t>
      </w:r>
      <w:r>
        <w:rPr>
          <w:color w:val="000000" w:themeColor="text1"/>
        </w:rPr>
        <w:t xml:space="preserve">(86). </w:t>
      </w:r>
    </w:p>
    <w:p w:rsidR="002F4D75" w:rsidRPr="00FB5F59" w:rsidRDefault="002F4D75" w:rsidP="002F4D75">
      <w:pPr>
        <w:rPr>
          <w:color w:val="000000" w:themeColor="text1"/>
        </w:rPr>
      </w:pPr>
      <w:r>
        <w:rPr>
          <w:color w:val="000000" w:themeColor="text1"/>
        </w:rPr>
        <w:tab/>
      </w:r>
      <w:r w:rsidRPr="00FB5F59">
        <w:rPr>
          <w:color w:val="000000" w:themeColor="text1"/>
        </w:rPr>
        <w:t xml:space="preserve">GFR hesaplamasında güncel yöntemler genel popülasyonda yapılan çalışmalarda karşılaştırılmıştır. The Chronic Kidney Disease Epidemiology Collaboration (CKD-EPI) </w:t>
      </w:r>
      <w:r w:rsidRPr="00FB5F59">
        <w:rPr>
          <w:rStyle w:val="hps"/>
          <w:color w:val="000000" w:themeColor="text1"/>
        </w:rPr>
        <w:t>kreatinin</w:t>
      </w:r>
      <w:r w:rsidRPr="00FB5F59">
        <w:rPr>
          <w:color w:val="000000" w:themeColor="text1"/>
        </w:rPr>
        <w:t xml:space="preserve"> </w:t>
      </w:r>
      <w:r w:rsidRPr="00FB5F59">
        <w:rPr>
          <w:rStyle w:val="hps"/>
          <w:color w:val="000000" w:themeColor="text1"/>
        </w:rPr>
        <w:t>denklemi</w:t>
      </w:r>
      <w:r w:rsidRPr="00FB5F59">
        <w:rPr>
          <w:color w:val="000000" w:themeColor="text1"/>
        </w:rPr>
        <w:t xml:space="preserve">, The Modification of Diet in Renal Disease (MDRD) </w:t>
      </w:r>
      <w:r w:rsidRPr="00FB5F59">
        <w:rPr>
          <w:rStyle w:val="hps"/>
          <w:color w:val="000000" w:themeColor="text1"/>
        </w:rPr>
        <w:t>çalışma denklemi</w:t>
      </w:r>
      <w:r w:rsidRPr="00FB5F59">
        <w:rPr>
          <w:color w:val="000000" w:themeColor="text1"/>
        </w:rPr>
        <w:t xml:space="preserve"> </w:t>
      </w:r>
      <w:r w:rsidRPr="00FB5F59">
        <w:rPr>
          <w:rStyle w:val="hps"/>
          <w:color w:val="000000" w:themeColor="text1"/>
        </w:rPr>
        <w:t>gibi</w:t>
      </w:r>
      <w:r w:rsidRPr="00FB5F59">
        <w:rPr>
          <w:color w:val="000000" w:themeColor="text1"/>
        </w:rPr>
        <w:t xml:space="preserve"> </w:t>
      </w:r>
      <w:r w:rsidRPr="00FB5F59">
        <w:rPr>
          <w:rStyle w:val="hps"/>
          <w:color w:val="000000" w:themeColor="text1"/>
        </w:rPr>
        <w:t>aynı dört</w:t>
      </w:r>
      <w:r w:rsidRPr="00FB5F59">
        <w:rPr>
          <w:color w:val="000000" w:themeColor="text1"/>
        </w:rPr>
        <w:t xml:space="preserve"> </w:t>
      </w:r>
      <w:r w:rsidRPr="00FB5F59">
        <w:rPr>
          <w:rStyle w:val="hps"/>
          <w:color w:val="000000" w:themeColor="text1"/>
        </w:rPr>
        <w:t>değişkene dayalı</w:t>
      </w:r>
      <w:r w:rsidRPr="00FB5F59">
        <w:rPr>
          <w:color w:val="000000" w:themeColor="text1"/>
        </w:rPr>
        <w:t xml:space="preserve"> olup </w:t>
      </w:r>
      <w:r w:rsidRPr="00FB5F59">
        <w:rPr>
          <w:rStyle w:val="hps"/>
          <w:color w:val="000000" w:themeColor="text1"/>
        </w:rPr>
        <w:t>serum</w:t>
      </w:r>
      <w:r w:rsidRPr="00FB5F59">
        <w:rPr>
          <w:color w:val="000000" w:themeColor="text1"/>
        </w:rPr>
        <w:t xml:space="preserve"> </w:t>
      </w:r>
      <w:r w:rsidRPr="00FB5F59">
        <w:rPr>
          <w:rStyle w:val="hps"/>
          <w:color w:val="000000" w:themeColor="text1"/>
        </w:rPr>
        <w:t>kreatinin</w:t>
      </w:r>
      <w:r w:rsidRPr="00FB5F59">
        <w:rPr>
          <w:color w:val="000000" w:themeColor="text1"/>
        </w:rPr>
        <w:t xml:space="preserve">, </w:t>
      </w:r>
      <w:r w:rsidRPr="00FB5F59">
        <w:rPr>
          <w:rStyle w:val="hps"/>
          <w:color w:val="000000" w:themeColor="text1"/>
        </w:rPr>
        <w:t>yaş, cinsiyet</w:t>
      </w:r>
      <w:r w:rsidRPr="00FB5F59">
        <w:rPr>
          <w:color w:val="000000" w:themeColor="text1"/>
        </w:rPr>
        <w:t xml:space="preserve"> </w:t>
      </w:r>
      <w:r w:rsidRPr="00FB5F59">
        <w:rPr>
          <w:rStyle w:val="hps"/>
          <w:color w:val="000000" w:themeColor="text1"/>
        </w:rPr>
        <w:t>ve ırk arasındaki</w:t>
      </w:r>
      <w:r w:rsidRPr="00FB5F59">
        <w:rPr>
          <w:color w:val="000000" w:themeColor="text1"/>
        </w:rPr>
        <w:t xml:space="preserve"> </w:t>
      </w:r>
      <w:r w:rsidRPr="00FB5F59">
        <w:rPr>
          <w:rStyle w:val="hps"/>
          <w:color w:val="000000" w:themeColor="text1"/>
        </w:rPr>
        <w:t>ilişkiyi</w:t>
      </w:r>
      <w:r w:rsidRPr="00FB5F59">
        <w:rPr>
          <w:color w:val="000000" w:themeColor="text1"/>
        </w:rPr>
        <w:t xml:space="preserve"> </w:t>
      </w:r>
      <w:r w:rsidRPr="00FB5F59">
        <w:rPr>
          <w:rStyle w:val="hps"/>
          <w:color w:val="000000" w:themeColor="text1"/>
        </w:rPr>
        <w:t>modellemek için</w:t>
      </w:r>
      <w:r w:rsidRPr="00FB5F59">
        <w:rPr>
          <w:color w:val="000000" w:themeColor="text1"/>
        </w:rPr>
        <w:t xml:space="preserve"> </w:t>
      </w:r>
      <w:r w:rsidRPr="00FB5F59">
        <w:rPr>
          <w:rStyle w:val="hps"/>
          <w:color w:val="000000" w:themeColor="text1"/>
        </w:rPr>
        <w:t>farklı eğimler</w:t>
      </w:r>
      <w:r w:rsidRPr="00FB5F59">
        <w:rPr>
          <w:color w:val="000000" w:themeColor="text1"/>
        </w:rPr>
        <w:t xml:space="preserve"> </w:t>
      </w:r>
      <w:r w:rsidRPr="00FB5F59">
        <w:rPr>
          <w:rStyle w:val="hps"/>
          <w:color w:val="000000" w:themeColor="text1"/>
        </w:rPr>
        <w:t>kullanır</w:t>
      </w:r>
      <w:r w:rsidRPr="00FB5F59">
        <w:rPr>
          <w:color w:val="000000" w:themeColor="text1"/>
        </w:rPr>
        <w:t xml:space="preserve">. CKD-EPI denklemi </w:t>
      </w:r>
      <w:r w:rsidRPr="00FB5F59">
        <w:rPr>
          <w:rStyle w:val="hps"/>
          <w:color w:val="000000" w:themeColor="text1"/>
        </w:rPr>
        <w:t>özellikle yüksek</w:t>
      </w:r>
      <w:r w:rsidRPr="00FB5F59">
        <w:rPr>
          <w:color w:val="000000" w:themeColor="text1"/>
        </w:rPr>
        <w:t xml:space="preserve"> </w:t>
      </w:r>
      <w:r w:rsidRPr="00FB5F59">
        <w:rPr>
          <w:rStyle w:val="hps"/>
          <w:color w:val="000000" w:themeColor="text1"/>
        </w:rPr>
        <w:t>glomeruler filtrasyon hızı olan, daha yaşlı grup hastalarda</w:t>
      </w:r>
      <w:r w:rsidRPr="00FB5F59">
        <w:rPr>
          <w:color w:val="000000" w:themeColor="text1"/>
        </w:rPr>
        <w:t xml:space="preserve">, </w:t>
      </w:r>
      <w:r w:rsidRPr="00FB5F59">
        <w:rPr>
          <w:rStyle w:val="hps"/>
          <w:color w:val="000000" w:themeColor="text1"/>
        </w:rPr>
        <w:t>MDRD 'ye göre daha az yanılma payı ve geliştirilmiş hassaslıkla</w:t>
      </w:r>
      <w:r w:rsidRPr="00FB5F59">
        <w:rPr>
          <w:color w:val="000000" w:themeColor="text1"/>
        </w:rPr>
        <w:t xml:space="preserve"> </w:t>
      </w:r>
      <w:r w:rsidRPr="00FB5F59">
        <w:rPr>
          <w:rStyle w:val="hps"/>
          <w:color w:val="000000" w:themeColor="text1"/>
        </w:rPr>
        <w:t>sonuç verir</w:t>
      </w:r>
      <w:r w:rsidRPr="00FB5F59">
        <w:rPr>
          <w:color w:val="000000" w:themeColor="text1"/>
        </w:rPr>
        <w:t xml:space="preserve">. </w:t>
      </w:r>
      <w:r w:rsidRPr="00FB5F59">
        <w:rPr>
          <w:rStyle w:val="hps"/>
          <w:color w:val="000000" w:themeColor="text1"/>
        </w:rPr>
        <w:t>Kasım 2009 itibariyle</w:t>
      </w:r>
      <w:r w:rsidRPr="00FB5F59">
        <w:rPr>
          <w:color w:val="000000" w:themeColor="text1"/>
        </w:rPr>
        <w:t xml:space="preserve"> </w:t>
      </w:r>
      <w:r w:rsidRPr="00FB5F59">
        <w:rPr>
          <w:rStyle w:val="hps"/>
          <w:color w:val="000000" w:themeColor="text1"/>
        </w:rPr>
        <w:t>bazı</w:t>
      </w:r>
      <w:r w:rsidRPr="00FB5F59">
        <w:rPr>
          <w:color w:val="000000" w:themeColor="text1"/>
        </w:rPr>
        <w:t xml:space="preserve"> </w:t>
      </w:r>
      <w:r w:rsidRPr="00FB5F59">
        <w:rPr>
          <w:rStyle w:val="hps"/>
          <w:color w:val="000000" w:themeColor="text1"/>
        </w:rPr>
        <w:t>klinik</w:t>
      </w:r>
      <w:r w:rsidRPr="00FB5F59">
        <w:rPr>
          <w:color w:val="000000" w:themeColor="text1"/>
        </w:rPr>
        <w:t xml:space="preserve"> </w:t>
      </w:r>
      <w:r w:rsidRPr="00FB5F59">
        <w:rPr>
          <w:rStyle w:val="hps"/>
          <w:color w:val="000000" w:themeColor="text1"/>
        </w:rPr>
        <w:t>laboratuvarlar</w:t>
      </w:r>
      <w:r w:rsidRPr="00FB5F59">
        <w:rPr>
          <w:color w:val="000000" w:themeColor="text1"/>
        </w:rPr>
        <w:t xml:space="preserve"> </w:t>
      </w:r>
      <w:r w:rsidRPr="00FB5F59">
        <w:rPr>
          <w:rStyle w:val="hps"/>
          <w:color w:val="000000" w:themeColor="text1"/>
        </w:rPr>
        <w:t>CKD</w:t>
      </w:r>
      <w:r w:rsidRPr="00FB5F59">
        <w:rPr>
          <w:rStyle w:val="atn"/>
          <w:color w:val="000000" w:themeColor="text1"/>
        </w:rPr>
        <w:t>-</w:t>
      </w:r>
      <w:r w:rsidRPr="00FB5F59">
        <w:rPr>
          <w:color w:val="000000" w:themeColor="text1"/>
        </w:rPr>
        <w:t xml:space="preserve">EPI </w:t>
      </w:r>
      <w:r w:rsidRPr="00FB5F59">
        <w:rPr>
          <w:rStyle w:val="hps"/>
          <w:color w:val="000000" w:themeColor="text1"/>
        </w:rPr>
        <w:t>kreatinin</w:t>
      </w:r>
      <w:r w:rsidRPr="00FB5F59">
        <w:rPr>
          <w:color w:val="000000" w:themeColor="text1"/>
        </w:rPr>
        <w:t xml:space="preserve"> </w:t>
      </w:r>
      <w:r w:rsidRPr="00FB5F59">
        <w:rPr>
          <w:rStyle w:val="hps"/>
          <w:color w:val="000000" w:themeColor="text1"/>
        </w:rPr>
        <w:t>denklemi kullanılarak</w:t>
      </w:r>
      <w:r w:rsidRPr="00FB5F59">
        <w:rPr>
          <w:color w:val="000000" w:themeColor="text1"/>
        </w:rPr>
        <w:t xml:space="preserve"> </w:t>
      </w:r>
      <w:r w:rsidRPr="00FB5F59">
        <w:rPr>
          <w:rStyle w:val="hps"/>
          <w:color w:val="000000" w:themeColor="text1"/>
        </w:rPr>
        <w:t>tahmini</w:t>
      </w:r>
      <w:r w:rsidRPr="00FB5F59">
        <w:rPr>
          <w:color w:val="000000" w:themeColor="text1"/>
        </w:rPr>
        <w:t xml:space="preserve"> </w:t>
      </w:r>
      <w:r w:rsidRPr="00FB5F59">
        <w:rPr>
          <w:rStyle w:val="hps"/>
          <w:color w:val="000000" w:themeColor="text1"/>
        </w:rPr>
        <w:t>GFR</w:t>
      </w:r>
      <w:r w:rsidRPr="00FB5F59">
        <w:rPr>
          <w:color w:val="000000" w:themeColor="text1"/>
        </w:rPr>
        <w:t xml:space="preserve"> </w:t>
      </w:r>
      <w:r w:rsidRPr="00FB5F59">
        <w:rPr>
          <w:rStyle w:val="hps"/>
          <w:color w:val="000000" w:themeColor="text1"/>
        </w:rPr>
        <w:t>hesaplamaktadır</w:t>
      </w:r>
      <w:r w:rsidRPr="00FB5F59">
        <w:rPr>
          <w:color w:val="000000" w:themeColor="text1"/>
        </w:rPr>
        <w:t xml:space="preserve">. Gelecekte </w:t>
      </w:r>
      <w:r w:rsidRPr="00FB5F59">
        <w:rPr>
          <w:rStyle w:val="hps"/>
          <w:color w:val="000000" w:themeColor="text1"/>
        </w:rPr>
        <w:t>yeni</w:t>
      </w:r>
      <w:r w:rsidRPr="00FB5F59">
        <w:rPr>
          <w:color w:val="000000" w:themeColor="text1"/>
        </w:rPr>
        <w:t xml:space="preserve"> </w:t>
      </w:r>
      <w:r w:rsidRPr="00FB5F59">
        <w:rPr>
          <w:rStyle w:val="hps"/>
          <w:color w:val="000000" w:themeColor="text1"/>
        </w:rPr>
        <w:t>GFH</w:t>
      </w:r>
      <w:r w:rsidRPr="00FB5F59">
        <w:rPr>
          <w:color w:val="000000" w:themeColor="text1"/>
        </w:rPr>
        <w:t xml:space="preserve"> </w:t>
      </w:r>
      <w:r w:rsidRPr="00FB5F59">
        <w:rPr>
          <w:rStyle w:val="hps"/>
          <w:color w:val="000000" w:themeColor="text1"/>
        </w:rPr>
        <w:t>tahmin</w:t>
      </w:r>
      <w:r w:rsidRPr="00FB5F59">
        <w:rPr>
          <w:color w:val="000000" w:themeColor="text1"/>
        </w:rPr>
        <w:t xml:space="preserve"> </w:t>
      </w:r>
      <w:r w:rsidRPr="00FB5F59">
        <w:rPr>
          <w:rStyle w:val="hps"/>
          <w:color w:val="000000" w:themeColor="text1"/>
        </w:rPr>
        <w:t>denklemleri</w:t>
      </w:r>
      <w:r w:rsidRPr="00FB5F59">
        <w:rPr>
          <w:color w:val="000000" w:themeColor="text1"/>
        </w:rPr>
        <w:t xml:space="preserve"> </w:t>
      </w:r>
      <w:r w:rsidRPr="00FB5F59">
        <w:rPr>
          <w:rStyle w:val="hps"/>
          <w:color w:val="000000" w:themeColor="text1"/>
        </w:rPr>
        <w:t>CKD</w:t>
      </w:r>
      <w:r w:rsidRPr="00FB5F59">
        <w:rPr>
          <w:rStyle w:val="atn"/>
          <w:color w:val="000000" w:themeColor="text1"/>
        </w:rPr>
        <w:t>-</w:t>
      </w:r>
      <w:r w:rsidRPr="00FB5F59">
        <w:rPr>
          <w:color w:val="000000" w:themeColor="text1"/>
        </w:rPr>
        <w:t xml:space="preserve">EPI'den </w:t>
      </w:r>
      <w:r w:rsidRPr="00FB5F59">
        <w:rPr>
          <w:rStyle w:val="hps"/>
          <w:color w:val="000000" w:themeColor="text1"/>
        </w:rPr>
        <w:t>daha iyi performans</w:t>
      </w:r>
      <w:r w:rsidRPr="00FB5F59">
        <w:rPr>
          <w:color w:val="000000" w:themeColor="text1"/>
        </w:rPr>
        <w:t xml:space="preserve"> </w:t>
      </w:r>
      <w:r w:rsidRPr="00FB5F59">
        <w:rPr>
          <w:rStyle w:val="hps"/>
          <w:color w:val="000000" w:themeColor="text1"/>
        </w:rPr>
        <w:t>verebilir</w:t>
      </w:r>
      <w:r w:rsidRPr="00FB5F59">
        <w:rPr>
          <w:color w:val="000000" w:themeColor="text1"/>
        </w:rPr>
        <w:t xml:space="preserve"> (7).</w:t>
      </w:r>
    </w:p>
    <w:p w:rsidR="002F4D75" w:rsidRDefault="002F4D75" w:rsidP="002F4D75">
      <w:pPr>
        <w:rPr>
          <w:b/>
          <w:color w:val="000000" w:themeColor="text1"/>
        </w:rPr>
      </w:pPr>
    </w:p>
    <w:p w:rsidR="002F4D75" w:rsidRPr="00F67102" w:rsidRDefault="002F4D75" w:rsidP="003E460C">
      <w:pPr>
        <w:pStyle w:val="Balk2"/>
      </w:pPr>
      <w:bookmarkStart w:id="41" w:name="_Toc459712417"/>
      <w:r w:rsidRPr="00F67102">
        <w:t>3.3</w:t>
      </w:r>
      <w:r>
        <w:t>.</w:t>
      </w:r>
      <w:r w:rsidRPr="00F67102">
        <w:t xml:space="preserve"> İstatistiksel Veri Analizi</w:t>
      </w:r>
      <w:bookmarkEnd w:id="41"/>
      <w:r w:rsidRPr="00F67102">
        <w:t xml:space="preserve">  </w:t>
      </w:r>
    </w:p>
    <w:p w:rsidR="00AE2D0D" w:rsidRDefault="002F4D75" w:rsidP="002F4D75">
      <w:pPr>
        <w:rPr>
          <w:color w:val="000000"/>
          <w:szCs w:val="24"/>
          <w:shd w:val="clear" w:color="auto" w:fill="FFFFFF"/>
        </w:rPr>
      </w:pPr>
      <w:r>
        <w:rPr>
          <w:color w:val="000000" w:themeColor="text1"/>
        </w:rPr>
        <w:tab/>
      </w:r>
      <w:r w:rsidRPr="00F67102">
        <w:rPr>
          <w:color w:val="000000" w:themeColor="text1"/>
        </w:rPr>
        <w:t>İstatistiksel analiz Windows SPSS programı 17.0 versiyonu (SPSS Inc. Chicago, Ilinois, USA)  kullanılarak Başkent Üniversitesi Adana Uygulama Hastanesi biyoistatistik bölümü tarafından yapıldı. Toplamda 321 akut koroner sendromlu hasta grubu içinden kontrast öncesi ABH gelişenler, total ABH (kontrast öncesi ve/veya kontrast sonrası ABH) gelişenler olarak iki grup belirlendi. Değişkenler kategorik ölçümlere göre yapıldıysa dağılım yüzdesi, sürekli ölçümler ile yapıldıysa ortalama ve gerekli yerlerde standart sapma (ortanca ve minimum-maksimum) değeri kaydedildi. Gruplar arasındaki sürekli ölçümlerin karşılaştırılmasında dağılımlar kontrol edildi. Parametrik dağılım ön şartı sağlandığı durumlarda Student T testi; parametrik dağılım ön şartı sağlanmadığından Mann Whitney U testi kullanıldı.</w:t>
      </w:r>
      <w:r>
        <w:rPr>
          <w:color w:val="000000" w:themeColor="text1"/>
        </w:rPr>
        <w:t xml:space="preserve"> </w:t>
      </w:r>
      <w:r w:rsidRPr="00F67102">
        <w:rPr>
          <w:color w:val="000000" w:themeColor="text1"/>
        </w:rPr>
        <w:t>Kategorik değişkenlerin karşılaştırılmasında Ki Kare test ya da Fisher test istatistiği kullanıldı. İstatistiksel olarak anlamlı bulunan değişkenler Lojistik Regresyon Analizi ile her iki grupta da ayrı ayrı analiz edildi. Tüm testlerde 0.05’in altındaki olasılık (p) değerleri istatistiksel olarak anlamlı kabul edildi.</w:t>
      </w:r>
    </w:p>
    <w:p w:rsidR="00AE2D0D" w:rsidRPr="0057493F" w:rsidRDefault="00AE2D0D" w:rsidP="00AE2D0D">
      <w:pPr>
        <w:rPr>
          <w:szCs w:val="24"/>
        </w:rPr>
      </w:pPr>
    </w:p>
    <w:p w:rsidR="00AE2D0D" w:rsidRPr="0057493F" w:rsidRDefault="00AE2D0D" w:rsidP="00AE2D0D">
      <w:pPr>
        <w:rPr>
          <w:szCs w:val="24"/>
        </w:rPr>
        <w:sectPr w:rsidR="00AE2D0D" w:rsidRPr="0057493F" w:rsidSect="00DF54B2">
          <w:pgSz w:w="11906" w:h="16838" w:code="9"/>
          <w:pgMar w:top="1418" w:right="1418" w:bottom="1418" w:left="1701" w:header="709" w:footer="709" w:gutter="0"/>
          <w:cols w:space="708"/>
          <w:docGrid w:linePitch="360"/>
        </w:sectPr>
      </w:pPr>
    </w:p>
    <w:p w:rsidR="00AE2D0D" w:rsidRPr="00DA6E56" w:rsidRDefault="00AE2D0D" w:rsidP="00C63C52">
      <w:pPr>
        <w:pStyle w:val="Balk1"/>
      </w:pPr>
      <w:bookmarkStart w:id="42" w:name="_Toc459712418"/>
      <w:r w:rsidRPr="00DA6E56">
        <w:rPr>
          <w:lang w:val="en-US"/>
        </w:rPr>
        <w:lastRenderedPageBreak/>
        <w:t>4.</w:t>
      </w:r>
      <w:r>
        <w:rPr>
          <w:lang w:val="en-US"/>
        </w:rPr>
        <w:t xml:space="preserve"> </w:t>
      </w:r>
      <w:r w:rsidRPr="00DA6E56">
        <w:rPr>
          <w:lang w:val="en-US"/>
        </w:rPr>
        <w:t>B</w:t>
      </w:r>
      <w:r>
        <w:rPr>
          <w:lang w:val="en-US"/>
        </w:rPr>
        <w:t>ULGULAR</w:t>
      </w:r>
      <w:bookmarkEnd w:id="42"/>
    </w:p>
    <w:p w:rsidR="009C6BB2" w:rsidRPr="00F67102" w:rsidRDefault="009C6BB2" w:rsidP="009C6BB2">
      <w:pPr>
        <w:rPr>
          <w:color w:val="000000" w:themeColor="text1"/>
        </w:rPr>
      </w:pPr>
      <w:r>
        <w:rPr>
          <w:color w:val="000000" w:themeColor="text1"/>
        </w:rPr>
        <w:tab/>
      </w:r>
      <w:r w:rsidRPr="00F67102">
        <w:rPr>
          <w:color w:val="000000" w:themeColor="text1"/>
        </w:rPr>
        <w:t xml:space="preserve">Toplamda 321 adet akut koroner sendrom tanılı hasta olup %17.4 (56)'ünde ABH gelişmiştir. Hastaların %13.7 (44)'sinde kontrast öncesi ABH, %15.2 (49)'sinde kontrast ilişkili ABH gelişmiş olup bunların %11.5(37)'inde hem kontrast öncesi hem de kontrast aldıktan sonra ABH gelişmiştir. </w:t>
      </w:r>
    </w:p>
    <w:p w:rsidR="009C6BB2" w:rsidRPr="00F67102" w:rsidRDefault="009C6BB2" w:rsidP="009C6BB2">
      <w:pPr>
        <w:rPr>
          <w:color w:val="000000" w:themeColor="text1"/>
        </w:rPr>
      </w:pPr>
    </w:p>
    <w:p w:rsidR="009C6BB2" w:rsidRPr="00EC2F2D" w:rsidRDefault="00EC2F2D" w:rsidP="00EC2F2D">
      <w:pPr>
        <w:pStyle w:val="ResimYazs"/>
        <w:rPr>
          <w:color w:val="000000" w:themeColor="text1"/>
        </w:rPr>
      </w:pPr>
      <w:bookmarkStart w:id="43" w:name="_Toc459713112"/>
      <w:r>
        <w:t xml:space="preserve">Tablo </w:t>
      </w:r>
      <w:r w:rsidR="001715F4">
        <w:t>4</w:t>
      </w:r>
      <w:r w:rsidR="00382CFB">
        <w:t>.</w:t>
      </w:r>
      <w:r w:rsidR="00C57A06">
        <w:fldChar w:fldCharType="begin"/>
      </w:r>
      <w:r w:rsidR="00353523">
        <w:instrText xml:space="preserve"> SEQ Tablo \* ARABIC \s 1 </w:instrText>
      </w:r>
      <w:r w:rsidR="00C57A06">
        <w:fldChar w:fldCharType="separate"/>
      </w:r>
      <w:r w:rsidR="001C364D">
        <w:rPr>
          <w:noProof/>
        </w:rPr>
        <w:t>1</w:t>
      </w:r>
      <w:r w:rsidR="00C57A06">
        <w:rPr>
          <w:noProof/>
        </w:rPr>
        <w:fldChar w:fldCharType="end"/>
      </w:r>
      <w:r>
        <w:t xml:space="preserve">. </w:t>
      </w:r>
      <w:r w:rsidR="009C6BB2" w:rsidRPr="00EC2F2D">
        <w:rPr>
          <w:color w:val="000000" w:themeColor="text1"/>
        </w:rPr>
        <w:t>Toplam 321 Hastada Bakılan Bazal Parametreler</w:t>
      </w:r>
      <w:bookmarkEnd w:id="43"/>
    </w:p>
    <w:tbl>
      <w:tblPr>
        <w:tblStyle w:val="TabloKlavuzu"/>
        <w:tblW w:w="4808" w:type="pct"/>
        <w:tblInd w:w="108" w:type="dxa"/>
        <w:tblLook w:val="04A0"/>
      </w:tblPr>
      <w:tblGrid>
        <w:gridCol w:w="1968"/>
        <w:gridCol w:w="2736"/>
        <w:gridCol w:w="1250"/>
        <w:gridCol w:w="2703"/>
      </w:tblGrid>
      <w:tr w:rsidR="009C6BB2" w:rsidRPr="00F67102" w:rsidTr="009C6BB2">
        <w:tc>
          <w:tcPr>
            <w:tcW w:w="2717" w:type="pct"/>
            <w:gridSpan w:val="2"/>
            <w:tcBorders>
              <w:left w:val="nil"/>
              <w:bottom w:val="single" w:sz="4" w:space="0" w:color="auto"/>
              <w:right w:val="nil"/>
            </w:tcBorders>
            <w:vAlign w:val="center"/>
          </w:tcPr>
          <w:p w:rsidR="009C6BB2" w:rsidRPr="00F83379" w:rsidRDefault="009C6BB2" w:rsidP="009C6BB2">
            <w:pPr>
              <w:jc w:val="left"/>
              <w:rPr>
                <w:b/>
                <w:color w:val="000000" w:themeColor="text1"/>
                <w:szCs w:val="24"/>
              </w:rPr>
            </w:pPr>
            <w:r w:rsidRPr="00F83379">
              <w:rPr>
                <w:b/>
                <w:color w:val="000000" w:themeColor="text1"/>
                <w:szCs w:val="24"/>
              </w:rPr>
              <w:t>Değişkenler</w:t>
            </w:r>
            <w:r>
              <w:rPr>
                <w:b/>
                <w:color w:val="000000" w:themeColor="text1"/>
                <w:szCs w:val="24"/>
              </w:rPr>
              <w:t xml:space="preserve"> </w:t>
            </w:r>
            <w:r w:rsidRPr="00F83379">
              <w:rPr>
                <w:b/>
                <w:color w:val="000000" w:themeColor="text1"/>
                <w:szCs w:val="24"/>
              </w:rPr>
              <w:t>(birim)</w:t>
            </w:r>
          </w:p>
        </w:tc>
        <w:tc>
          <w:tcPr>
            <w:tcW w:w="2283" w:type="pct"/>
            <w:gridSpan w:val="2"/>
            <w:tcBorders>
              <w:left w:val="nil"/>
              <w:bottom w:val="single" w:sz="4" w:space="0" w:color="auto"/>
              <w:right w:val="nil"/>
            </w:tcBorders>
            <w:vAlign w:val="center"/>
          </w:tcPr>
          <w:p w:rsidR="009C6BB2" w:rsidRPr="00F83379" w:rsidRDefault="009C6BB2" w:rsidP="009C6BB2">
            <w:pPr>
              <w:jc w:val="center"/>
              <w:rPr>
                <w:b/>
                <w:color w:val="000000" w:themeColor="text1"/>
                <w:szCs w:val="24"/>
              </w:rPr>
            </w:pPr>
            <w:r w:rsidRPr="00F83379">
              <w:rPr>
                <w:b/>
                <w:color w:val="000000" w:themeColor="text1"/>
                <w:szCs w:val="24"/>
              </w:rPr>
              <w:t>Toplam Hasta</w:t>
            </w:r>
          </w:p>
          <w:p w:rsidR="009C6BB2" w:rsidRPr="00F83379" w:rsidRDefault="009C6BB2" w:rsidP="009C6BB2">
            <w:pPr>
              <w:jc w:val="center"/>
              <w:rPr>
                <w:b/>
                <w:color w:val="000000" w:themeColor="text1"/>
                <w:szCs w:val="24"/>
              </w:rPr>
            </w:pPr>
            <w:r w:rsidRPr="00F83379">
              <w:rPr>
                <w:b/>
                <w:color w:val="000000" w:themeColor="text1"/>
                <w:szCs w:val="24"/>
              </w:rPr>
              <w:t>n=321</w:t>
            </w:r>
          </w:p>
        </w:tc>
      </w:tr>
      <w:tr w:rsidR="009C6BB2" w:rsidRPr="00F67102" w:rsidTr="00EC2F2D">
        <w:trPr>
          <w:trHeight w:val="123"/>
        </w:trPr>
        <w:tc>
          <w:tcPr>
            <w:tcW w:w="1137" w:type="pct"/>
            <w:vMerge w:val="restart"/>
            <w:tcBorders>
              <w:left w:val="nil"/>
              <w:right w:val="nil"/>
            </w:tcBorders>
            <w:vAlign w:val="center"/>
          </w:tcPr>
          <w:p w:rsidR="009C6BB2" w:rsidRPr="00F67102" w:rsidRDefault="009C6BB2" w:rsidP="009C6BB2">
            <w:pPr>
              <w:jc w:val="left"/>
              <w:rPr>
                <w:color w:val="000000" w:themeColor="text1"/>
                <w:szCs w:val="24"/>
              </w:rPr>
            </w:pPr>
            <w:r w:rsidRPr="00F67102">
              <w:rPr>
                <w:color w:val="000000" w:themeColor="text1"/>
                <w:szCs w:val="24"/>
              </w:rPr>
              <w:t>Cinsiyet</w:t>
            </w:r>
          </w:p>
        </w:tc>
        <w:tc>
          <w:tcPr>
            <w:tcW w:w="2302" w:type="pct"/>
            <w:gridSpan w:val="2"/>
            <w:tcBorders>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Kadın</w:t>
            </w:r>
          </w:p>
        </w:tc>
        <w:tc>
          <w:tcPr>
            <w:tcW w:w="1561" w:type="pct"/>
            <w:vMerge w:val="restart"/>
            <w:tcBorders>
              <w:left w:val="nil"/>
              <w:right w:val="nil"/>
            </w:tcBorders>
            <w:vAlign w:val="center"/>
          </w:tcPr>
          <w:p w:rsidR="009C6BB2" w:rsidRPr="00F67102" w:rsidRDefault="009C6BB2" w:rsidP="00EC2F2D">
            <w:pPr>
              <w:jc w:val="left"/>
              <w:rPr>
                <w:color w:val="000000" w:themeColor="text1"/>
                <w:szCs w:val="24"/>
              </w:rPr>
            </w:pPr>
            <w:r w:rsidRPr="00F67102">
              <w:rPr>
                <w:color w:val="000000" w:themeColor="text1"/>
                <w:szCs w:val="24"/>
              </w:rPr>
              <w:t>%29.3 (94)</w:t>
            </w:r>
          </w:p>
          <w:p w:rsidR="009C6BB2" w:rsidRPr="00F67102" w:rsidRDefault="009C6BB2" w:rsidP="00EC2F2D">
            <w:pPr>
              <w:jc w:val="left"/>
              <w:rPr>
                <w:color w:val="000000" w:themeColor="text1"/>
                <w:szCs w:val="24"/>
              </w:rPr>
            </w:pPr>
            <w:r w:rsidRPr="00F67102">
              <w:rPr>
                <w:color w:val="000000" w:themeColor="text1"/>
                <w:szCs w:val="24"/>
              </w:rPr>
              <w:t>%70.7 (227)</w:t>
            </w:r>
          </w:p>
        </w:tc>
      </w:tr>
      <w:tr w:rsidR="009C6BB2" w:rsidRPr="00F67102" w:rsidTr="00EC2F2D">
        <w:trPr>
          <w:trHeight w:val="122"/>
        </w:trPr>
        <w:tc>
          <w:tcPr>
            <w:tcW w:w="1137" w:type="pct"/>
            <w:vMerge/>
            <w:tcBorders>
              <w:left w:val="nil"/>
              <w:bottom w:val="nil"/>
              <w:right w:val="nil"/>
            </w:tcBorders>
          </w:tcPr>
          <w:p w:rsidR="009C6BB2" w:rsidRPr="00F67102" w:rsidRDefault="009C6BB2" w:rsidP="009C6BB2">
            <w:pPr>
              <w:rPr>
                <w:color w:val="000000" w:themeColor="text1"/>
                <w:szCs w:val="24"/>
              </w:rPr>
            </w:pPr>
          </w:p>
        </w:tc>
        <w:tc>
          <w:tcPr>
            <w:tcW w:w="2302" w:type="pct"/>
            <w:gridSpan w:val="2"/>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Erkek</w:t>
            </w:r>
          </w:p>
        </w:tc>
        <w:tc>
          <w:tcPr>
            <w:tcW w:w="1561" w:type="pct"/>
            <w:vMerge/>
            <w:tcBorders>
              <w:left w:val="nil"/>
              <w:bottom w:val="nil"/>
              <w:right w:val="nil"/>
            </w:tcBorders>
            <w:vAlign w:val="center"/>
          </w:tcPr>
          <w:p w:rsidR="009C6BB2" w:rsidRPr="00F67102" w:rsidRDefault="009C6BB2" w:rsidP="00EC2F2D">
            <w:pPr>
              <w:jc w:val="left"/>
              <w:rPr>
                <w:color w:val="000000" w:themeColor="text1"/>
                <w:szCs w:val="24"/>
              </w:rPr>
            </w:pPr>
          </w:p>
        </w:tc>
      </w:tr>
      <w:tr w:rsidR="009C6BB2" w:rsidRPr="00F67102" w:rsidTr="00EC2F2D">
        <w:tc>
          <w:tcPr>
            <w:tcW w:w="3439" w:type="pct"/>
            <w:gridSpan w:val="3"/>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Yaş</w:t>
            </w:r>
            <w:r w:rsidRPr="00F67102">
              <w:rPr>
                <w:color w:val="000000" w:themeColor="text1"/>
                <w:szCs w:val="24"/>
                <w:vertAlign w:val="superscript"/>
              </w:rPr>
              <w:t xml:space="preserve"> α</w:t>
            </w:r>
          </w:p>
        </w:tc>
        <w:tc>
          <w:tcPr>
            <w:tcW w:w="1561" w:type="pct"/>
            <w:tcBorders>
              <w:top w:val="nil"/>
              <w:left w:val="nil"/>
              <w:bottom w:val="nil"/>
              <w:right w:val="nil"/>
            </w:tcBorders>
            <w:vAlign w:val="center"/>
          </w:tcPr>
          <w:p w:rsidR="009C6BB2" w:rsidRPr="00F67102" w:rsidRDefault="009C6BB2" w:rsidP="00EC2F2D">
            <w:pPr>
              <w:jc w:val="left"/>
              <w:rPr>
                <w:color w:val="000000" w:themeColor="text1"/>
                <w:szCs w:val="24"/>
              </w:rPr>
            </w:pPr>
            <w:r w:rsidRPr="00F67102">
              <w:rPr>
                <w:color w:val="000000" w:themeColor="text1"/>
                <w:szCs w:val="24"/>
              </w:rPr>
              <w:t>63.3</w:t>
            </w:r>
          </w:p>
        </w:tc>
      </w:tr>
      <w:tr w:rsidR="009C6BB2" w:rsidRPr="00F67102" w:rsidTr="00EC2F2D">
        <w:tc>
          <w:tcPr>
            <w:tcW w:w="3439" w:type="pct"/>
            <w:gridSpan w:val="3"/>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Sigara</w:t>
            </w:r>
          </w:p>
        </w:tc>
        <w:tc>
          <w:tcPr>
            <w:tcW w:w="1561" w:type="pct"/>
            <w:tcBorders>
              <w:top w:val="nil"/>
              <w:left w:val="nil"/>
              <w:bottom w:val="nil"/>
              <w:right w:val="nil"/>
            </w:tcBorders>
            <w:vAlign w:val="center"/>
          </w:tcPr>
          <w:p w:rsidR="009C6BB2" w:rsidRPr="00F67102" w:rsidRDefault="009C6BB2" w:rsidP="00EC2F2D">
            <w:pPr>
              <w:jc w:val="left"/>
              <w:rPr>
                <w:color w:val="000000" w:themeColor="text1"/>
                <w:szCs w:val="24"/>
              </w:rPr>
            </w:pPr>
            <w:r w:rsidRPr="00F67102">
              <w:rPr>
                <w:color w:val="000000" w:themeColor="text1"/>
                <w:szCs w:val="24"/>
              </w:rPr>
              <w:t>%32.4 (104)</w:t>
            </w:r>
          </w:p>
        </w:tc>
      </w:tr>
      <w:tr w:rsidR="009C6BB2" w:rsidRPr="00F67102" w:rsidTr="00EC2F2D">
        <w:tc>
          <w:tcPr>
            <w:tcW w:w="3439" w:type="pct"/>
            <w:gridSpan w:val="3"/>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DM</w:t>
            </w:r>
          </w:p>
        </w:tc>
        <w:tc>
          <w:tcPr>
            <w:tcW w:w="1561" w:type="pct"/>
            <w:tcBorders>
              <w:top w:val="nil"/>
              <w:left w:val="nil"/>
              <w:bottom w:val="nil"/>
              <w:right w:val="nil"/>
            </w:tcBorders>
            <w:vAlign w:val="center"/>
          </w:tcPr>
          <w:p w:rsidR="009C6BB2" w:rsidRPr="00F67102" w:rsidRDefault="009C6BB2" w:rsidP="00EC2F2D">
            <w:pPr>
              <w:jc w:val="left"/>
              <w:rPr>
                <w:color w:val="000000" w:themeColor="text1"/>
                <w:szCs w:val="24"/>
              </w:rPr>
            </w:pPr>
            <w:r w:rsidRPr="00F67102">
              <w:rPr>
                <w:color w:val="000000" w:themeColor="text1"/>
                <w:szCs w:val="24"/>
              </w:rPr>
              <w:t>%38.6 (124)</w:t>
            </w:r>
          </w:p>
        </w:tc>
      </w:tr>
      <w:tr w:rsidR="009C6BB2" w:rsidRPr="00F67102" w:rsidTr="00EC2F2D">
        <w:tc>
          <w:tcPr>
            <w:tcW w:w="3439" w:type="pct"/>
            <w:gridSpan w:val="3"/>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HT</w:t>
            </w:r>
          </w:p>
        </w:tc>
        <w:tc>
          <w:tcPr>
            <w:tcW w:w="1561" w:type="pct"/>
            <w:tcBorders>
              <w:top w:val="nil"/>
              <w:left w:val="nil"/>
              <w:bottom w:val="nil"/>
              <w:right w:val="nil"/>
            </w:tcBorders>
            <w:vAlign w:val="center"/>
          </w:tcPr>
          <w:p w:rsidR="009C6BB2" w:rsidRPr="00F67102" w:rsidRDefault="009C6BB2" w:rsidP="00EC2F2D">
            <w:pPr>
              <w:jc w:val="left"/>
              <w:rPr>
                <w:color w:val="000000" w:themeColor="text1"/>
                <w:szCs w:val="24"/>
              </w:rPr>
            </w:pPr>
            <w:r w:rsidRPr="00F67102">
              <w:rPr>
                <w:color w:val="000000" w:themeColor="text1"/>
                <w:szCs w:val="24"/>
              </w:rPr>
              <w:t>%72 (231)</w:t>
            </w:r>
          </w:p>
        </w:tc>
      </w:tr>
      <w:tr w:rsidR="009C6BB2" w:rsidRPr="00F67102" w:rsidTr="00EC2F2D">
        <w:tc>
          <w:tcPr>
            <w:tcW w:w="3439" w:type="pct"/>
            <w:gridSpan w:val="3"/>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KBH</w:t>
            </w:r>
          </w:p>
        </w:tc>
        <w:tc>
          <w:tcPr>
            <w:tcW w:w="1561" w:type="pct"/>
            <w:tcBorders>
              <w:top w:val="nil"/>
              <w:left w:val="nil"/>
              <w:bottom w:val="nil"/>
              <w:right w:val="nil"/>
            </w:tcBorders>
            <w:vAlign w:val="center"/>
          </w:tcPr>
          <w:p w:rsidR="009C6BB2" w:rsidRPr="00F67102" w:rsidRDefault="009C6BB2" w:rsidP="00EC2F2D">
            <w:pPr>
              <w:jc w:val="left"/>
              <w:rPr>
                <w:color w:val="000000" w:themeColor="text1"/>
                <w:szCs w:val="24"/>
              </w:rPr>
            </w:pPr>
            <w:r w:rsidRPr="00F67102">
              <w:rPr>
                <w:color w:val="000000" w:themeColor="text1"/>
                <w:szCs w:val="24"/>
              </w:rPr>
              <w:t>%19.6 (63)</w:t>
            </w:r>
          </w:p>
        </w:tc>
      </w:tr>
      <w:tr w:rsidR="009C6BB2" w:rsidRPr="00F67102" w:rsidTr="00EC2F2D">
        <w:tc>
          <w:tcPr>
            <w:tcW w:w="3439" w:type="pct"/>
            <w:gridSpan w:val="3"/>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HL</w:t>
            </w:r>
          </w:p>
        </w:tc>
        <w:tc>
          <w:tcPr>
            <w:tcW w:w="1561" w:type="pct"/>
            <w:tcBorders>
              <w:top w:val="nil"/>
              <w:left w:val="nil"/>
              <w:bottom w:val="nil"/>
              <w:right w:val="nil"/>
            </w:tcBorders>
            <w:vAlign w:val="center"/>
          </w:tcPr>
          <w:p w:rsidR="009C6BB2" w:rsidRPr="00F67102" w:rsidRDefault="009C6BB2" w:rsidP="00EC2F2D">
            <w:pPr>
              <w:jc w:val="left"/>
              <w:rPr>
                <w:color w:val="000000" w:themeColor="text1"/>
                <w:szCs w:val="24"/>
              </w:rPr>
            </w:pPr>
            <w:r w:rsidRPr="00F67102">
              <w:rPr>
                <w:color w:val="000000" w:themeColor="text1"/>
                <w:szCs w:val="24"/>
              </w:rPr>
              <w:t>%42.7 (137)</w:t>
            </w:r>
          </w:p>
        </w:tc>
      </w:tr>
      <w:tr w:rsidR="009C6BB2" w:rsidRPr="00F67102" w:rsidTr="00EC2F2D">
        <w:tc>
          <w:tcPr>
            <w:tcW w:w="3439" w:type="pct"/>
            <w:gridSpan w:val="3"/>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Tekrarlayan AKS</w:t>
            </w:r>
          </w:p>
        </w:tc>
        <w:tc>
          <w:tcPr>
            <w:tcW w:w="1561" w:type="pct"/>
            <w:tcBorders>
              <w:top w:val="nil"/>
              <w:left w:val="nil"/>
              <w:bottom w:val="nil"/>
              <w:right w:val="nil"/>
            </w:tcBorders>
            <w:vAlign w:val="center"/>
          </w:tcPr>
          <w:p w:rsidR="009C6BB2" w:rsidRPr="00F67102" w:rsidRDefault="009C6BB2" w:rsidP="00EC2F2D">
            <w:pPr>
              <w:jc w:val="left"/>
              <w:rPr>
                <w:color w:val="000000" w:themeColor="text1"/>
                <w:szCs w:val="24"/>
              </w:rPr>
            </w:pPr>
            <w:r w:rsidRPr="00F67102">
              <w:rPr>
                <w:color w:val="000000" w:themeColor="text1"/>
                <w:szCs w:val="24"/>
              </w:rPr>
              <w:t>%40.8 (131)</w:t>
            </w:r>
          </w:p>
        </w:tc>
      </w:tr>
      <w:tr w:rsidR="009C6BB2" w:rsidRPr="00F67102" w:rsidTr="00EC2F2D">
        <w:tc>
          <w:tcPr>
            <w:tcW w:w="3439" w:type="pct"/>
            <w:gridSpan w:val="3"/>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Geçirilmiş Koroner By-pass</w:t>
            </w:r>
          </w:p>
        </w:tc>
        <w:tc>
          <w:tcPr>
            <w:tcW w:w="1561" w:type="pct"/>
            <w:tcBorders>
              <w:top w:val="nil"/>
              <w:left w:val="nil"/>
              <w:bottom w:val="nil"/>
              <w:right w:val="nil"/>
            </w:tcBorders>
            <w:vAlign w:val="center"/>
          </w:tcPr>
          <w:p w:rsidR="009C6BB2" w:rsidRPr="00F67102" w:rsidRDefault="009C6BB2" w:rsidP="00EC2F2D">
            <w:pPr>
              <w:jc w:val="left"/>
              <w:rPr>
                <w:color w:val="000000" w:themeColor="text1"/>
                <w:szCs w:val="24"/>
              </w:rPr>
            </w:pPr>
            <w:r w:rsidRPr="00F67102">
              <w:rPr>
                <w:color w:val="000000" w:themeColor="text1"/>
                <w:szCs w:val="24"/>
              </w:rPr>
              <w:t>%21.8 (70)</w:t>
            </w:r>
          </w:p>
        </w:tc>
      </w:tr>
      <w:tr w:rsidR="009C6BB2" w:rsidRPr="00F67102" w:rsidTr="00EC2F2D">
        <w:tc>
          <w:tcPr>
            <w:tcW w:w="3439" w:type="pct"/>
            <w:gridSpan w:val="3"/>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Geçirilmiş SVO</w:t>
            </w:r>
          </w:p>
        </w:tc>
        <w:tc>
          <w:tcPr>
            <w:tcW w:w="1561" w:type="pct"/>
            <w:tcBorders>
              <w:top w:val="nil"/>
              <w:left w:val="nil"/>
              <w:bottom w:val="nil"/>
              <w:right w:val="nil"/>
            </w:tcBorders>
            <w:vAlign w:val="center"/>
          </w:tcPr>
          <w:p w:rsidR="009C6BB2" w:rsidRPr="00F67102" w:rsidRDefault="009C6BB2" w:rsidP="00EC2F2D">
            <w:pPr>
              <w:jc w:val="left"/>
              <w:rPr>
                <w:color w:val="000000" w:themeColor="text1"/>
                <w:szCs w:val="24"/>
              </w:rPr>
            </w:pPr>
            <w:r w:rsidRPr="00F67102">
              <w:rPr>
                <w:color w:val="000000" w:themeColor="text1"/>
                <w:szCs w:val="24"/>
              </w:rPr>
              <w:t>%5.3 (17)</w:t>
            </w:r>
          </w:p>
        </w:tc>
      </w:tr>
      <w:tr w:rsidR="009C6BB2" w:rsidRPr="00F67102" w:rsidTr="00EC2F2D">
        <w:tc>
          <w:tcPr>
            <w:tcW w:w="3439" w:type="pct"/>
            <w:gridSpan w:val="3"/>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Periferik Arter hastalığı</w:t>
            </w:r>
          </w:p>
        </w:tc>
        <w:tc>
          <w:tcPr>
            <w:tcW w:w="1561" w:type="pct"/>
            <w:tcBorders>
              <w:top w:val="nil"/>
              <w:left w:val="nil"/>
              <w:bottom w:val="nil"/>
              <w:right w:val="nil"/>
            </w:tcBorders>
            <w:vAlign w:val="center"/>
          </w:tcPr>
          <w:p w:rsidR="009C6BB2" w:rsidRPr="00F67102" w:rsidRDefault="009C6BB2" w:rsidP="00EC2F2D">
            <w:pPr>
              <w:jc w:val="left"/>
              <w:rPr>
                <w:color w:val="000000" w:themeColor="text1"/>
                <w:szCs w:val="24"/>
              </w:rPr>
            </w:pPr>
            <w:r w:rsidRPr="00F67102">
              <w:rPr>
                <w:color w:val="000000" w:themeColor="text1"/>
                <w:szCs w:val="24"/>
              </w:rPr>
              <w:t>%3.1 (10)</w:t>
            </w:r>
          </w:p>
        </w:tc>
      </w:tr>
      <w:tr w:rsidR="009C6BB2" w:rsidRPr="00F67102" w:rsidTr="00EC2F2D">
        <w:tc>
          <w:tcPr>
            <w:tcW w:w="3439" w:type="pct"/>
            <w:gridSpan w:val="3"/>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Anemi</w:t>
            </w:r>
          </w:p>
        </w:tc>
        <w:tc>
          <w:tcPr>
            <w:tcW w:w="1561" w:type="pct"/>
            <w:tcBorders>
              <w:top w:val="nil"/>
              <w:left w:val="nil"/>
              <w:bottom w:val="nil"/>
              <w:right w:val="nil"/>
            </w:tcBorders>
            <w:vAlign w:val="center"/>
          </w:tcPr>
          <w:p w:rsidR="009C6BB2" w:rsidRPr="00F67102" w:rsidRDefault="009C6BB2" w:rsidP="00EC2F2D">
            <w:pPr>
              <w:jc w:val="left"/>
              <w:rPr>
                <w:color w:val="000000" w:themeColor="text1"/>
                <w:szCs w:val="24"/>
              </w:rPr>
            </w:pPr>
            <w:r w:rsidRPr="00F67102">
              <w:rPr>
                <w:color w:val="000000" w:themeColor="text1"/>
                <w:szCs w:val="24"/>
              </w:rPr>
              <w:t>%22.1 (71)</w:t>
            </w:r>
          </w:p>
        </w:tc>
      </w:tr>
      <w:tr w:rsidR="009C6BB2" w:rsidRPr="00F67102" w:rsidTr="00EC2F2D">
        <w:tc>
          <w:tcPr>
            <w:tcW w:w="3439" w:type="pct"/>
            <w:gridSpan w:val="3"/>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Hipotansiyon</w:t>
            </w:r>
          </w:p>
        </w:tc>
        <w:tc>
          <w:tcPr>
            <w:tcW w:w="1561" w:type="pct"/>
            <w:tcBorders>
              <w:top w:val="nil"/>
              <w:left w:val="nil"/>
              <w:bottom w:val="nil"/>
              <w:right w:val="nil"/>
            </w:tcBorders>
            <w:vAlign w:val="center"/>
          </w:tcPr>
          <w:p w:rsidR="009C6BB2" w:rsidRPr="00F67102" w:rsidRDefault="009C6BB2" w:rsidP="00EC2F2D">
            <w:pPr>
              <w:jc w:val="left"/>
              <w:rPr>
                <w:color w:val="000000" w:themeColor="text1"/>
                <w:szCs w:val="24"/>
              </w:rPr>
            </w:pPr>
            <w:r w:rsidRPr="00F67102">
              <w:rPr>
                <w:color w:val="000000" w:themeColor="text1"/>
                <w:szCs w:val="24"/>
              </w:rPr>
              <w:t>%5.3 (17)</w:t>
            </w:r>
          </w:p>
        </w:tc>
      </w:tr>
      <w:tr w:rsidR="009C6BB2" w:rsidRPr="00F67102" w:rsidTr="00EC2F2D">
        <w:tc>
          <w:tcPr>
            <w:tcW w:w="3439" w:type="pct"/>
            <w:gridSpan w:val="3"/>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AV blok</w:t>
            </w:r>
          </w:p>
        </w:tc>
        <w:tc>
          <w:tcPr>
            <w:tcW w:w="1561" w:type="pct"/>
            <w:tcBorders>
              <w:top w:val="nil"/>
              <w:left w:val="nil"/>
              <w:bottom w:val="nil"/>
              <w:right w:val="nil"/>
            </w:tcBorders>
            <w:vAlign w:val="center"/>
          </w:tcPr>
          <w:p w:rsidR="009C6BB2" w:rsidRPr="00F67102" w:rsidRDefault="009C6BB2" w:rsidP="00EC2F2D">
            <w:pPr>
              <w:jc w:val="left"/>
              <w:rPr>
                <w:color w:val="000000" w:themeColor="text1"/>
                <w:szCs w:val="24"/>
              </w:rPr>
            </w:pPr>
            <w:r w:rsidRPr="00F67102">
              <w:rPr>
                <w:color w:val="000000" w:themeColor="text1"/>
                <w:szCs w:val="24"/>
              </w:rPr>
              <w:t>%5.3 (17)</w:t>
            </w:r>
          </w:p>
        </w:tc>
      </w:tr>
      <w:tr w:rsidR="009C6BB2" w:rsidRPr="00F67102" w:rsidTr="00EC2F2D">
        <w:tc>
          <w:tcPr>
            <w:tcW w:w="3439" w:type="pct"/>
            <w:gridSpan w:val="3"/>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Kardiyojenik Şok</w:t>
            </w:r>
          </w:p>
        </w:tc>
        <w:tc>
          <w:tcPr>
            <w:tcW w:w="1561" w:type="pct"/>
            <w:tcBorders>
              <w:top w:val="nil"/>
              <w:left w:val="nil"/>
              <w:bottom w:val="nil"/>
              <w:right w:val="nil"/>
            </w:tcBorders>
            <w:vAlign w:val="center"/>
          </w:tcPr>
          <w:p w:rsidR="009C6BB2" w:rsidRPr="00F67102" w:rsidRDefault="009C6BB2" w:rsidP="00EC2F2D">
            <w:pPr>
              <w:jc w:val="left"/>
              <w:rPr>
                <w:color w:val="000000" w:themeColor="text1"/>
                <w:szCs w:val="24"/>
              </w:rPr>
            </w:pPr>
            <w:r w:rsidRPr="00F67102">
              <w:rPr>
                <w:color w:val="000000" w:themeColor="text1"/>
                <w:szCs w:val="24"/>
              </w:rPr>
              <w:t>%3.1 (10)</w:t>
            </w:r>
          </w:p>
        </w:tc>
      </w:tr>
      <w:tr w:rsidR="009C6BB2" w:rsidRPr="00F67102" w:rsidTr="00EC2F2D">
        <w:tc>
          <w:tcPr>
            <w:tcW w:w="3439" w:type="pct"/>
            <w:gridSpan w:val="3"/>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VT</w:t>
            </w:r>
          </w:p>
        </w:tc>
        <w:tc>
          <w:tcPr>
            <w:tcW w:w="1561" w:type="pct"/>
            <w:tcBorders>
              <w:top w:val="nil"/>
              <w:left w:val="nil"/>
              <w:bottom w:val="nil"/>
              <w:right w:val="nil"/>
            </w:tcBorders>
            <w:vAlign w:val="center"/>
          </w:tcPr>
          <w:p w:rsidR="009C6BB2" w:rsidRPr="00F67102" w:rsidRDefault="009C6BB2" w:rsidP="00EC2F2D">
            <w:pPr>
              <w:jc w:val="left"/>
              <w:rPr>
                <w:color w:val="000000" w:themeColor="text1"/>
                <w:szCs w:val="24"/>
              </w:rPr>
            </w:pPr>
            <w:r w:rsidRPr="00F67102">
              <w:rPr>
                <w:color w:val="000000" w:themeColor="text1"/>
                <w:szCs w:val="24"/>
              </w:rPr>
              <w:t>%1.6 (5)</w:t>
            </w:r>
          </w:p>
        </w:tc>
      </w:tr>
      <w:tr w:rsidR="009C6BB2" w:rsidRPr="00F67102" w:rsidTr="00EC2F2D">
        <w:tc>
          <w:tcPr>
            <w:tcW w:w="3439" w:type="pct"/>
            <w:gridSpan w:val="3"/>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VF</w:t>
            </w:r>
          </w:p>
        </w:tc>
        <w:tc>
          <w:tcPr>
            <w:tcW w:w="1561" w:type="pct"/>
            <w:tcBorders>
              <w:top w:val="nil"/>
              <w:left w:val="nil"/>
              <w:bottom w:val="nil"/>
              <w:right w:val="nil"/>
            </w:tcBorders>
            <w:vAlign w:val="center"/>
          </w:tcPr>
          <w:p w:rsidR="009C6BB2" w:rsidRPr="00F67102" w:rsidRDefault="009C6BB2" w:rsidP="00EC2F2D">
            <w:pPr>
              <w:jc w:val="left"/>
              <w:rPr>
                <w:color w:val="000000" w:themeColor="text1"/>
                <w:szCs w:val="24"/>
              </w:rPr>
            </w:pPr>
            <w:r w:rsidRPr="00F67102">
              <w:rPr>
                <w:color w:val="000000" w:themeColor="text1"/>
                <w:szCs w:val="24"/>
              </w:rPr>
              <w:t>%3.7 (12)</w:t>
            </w:r>
          </w:p>
        </w:tc>
      </w:tr>
      <w:tr w:rsidR="009C6BB2" w:rsidRPr="00F67102" w:rsidTr="00EC2F2D">
        <w:tc>
          <w:tcPr>
            <w:tcW w:w="3439" w:type="pct"/>
            <w:gridSpan w:val="3"/>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Daha önce kronik AF</w:t>
            </w:r>
          </w:p>
        </w:tc>
        <w:tc>
          <w:tcPr>
            <w:tcW w:w="1561" w:type="pct"/>
            <w:tcBorders>
              <w:top w:val="nil"/>
              <w:left w:val="nil"/>
              <w:bottom w:val="nil"/>
              <w:right w:val="nil"/>
            </w:tcBorders>
            <w:vAlign w:val="center"/>
          </w:tcPr>
          <w:p w:rsidR="009C6BB2" w:rsidRPr="00F67102" w:rsidRDefault="009C6BB2" w:rsidP="00EC2F2D">
            <w:pPr>
              <w:jc w:val="left"/>
              <w:rPr>
                <w:color w:val="000000" w:themeColor="text1"/>
                <w:szCs w:val="24"/>
              </w:rPr>
            </w:pPr>
            <w:r w:rsidRPr="00F67102">
              <w:rPr>
                <w:color w:val="000000" w:themeColor="text1"/>
                <w:szCs w:val="24"/>
              </w:rPr>
              <w:t>%3.4 (11)</w:t>
            </w:r>
          </w:p>
        </w:tc>
      </w:tr>
      <w:tr w:rsidR="009C6BB2" w:rsidRPr="00F67102" w:rsidTr="00EC2F2D">
        <w:tc>
          <w:tcPr>
            <w:tcW w:w="3439" w:type="pct"/>
            <w:gridSpan w:val="3"/>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Hastanede AF</w:t>
            </w:r>
          </w:p>
        </w:tc>
        <w:tc>
          <w:tcPr>
            <w:tcW w:w="1561" w:type="pct"/>
            <w:tcBorders>
              <w:top w:val="nil"/>
              <w:left w:val="nil"/>
              <w:bottom w:val="nil"/>
              <w:right w:val="nil"/>
            </w:tcBorders>
            <w:vAlign w:val="center"/>
          </w:tcPr>
          <w:p w:rsidR="009C6BB2" w:rsidRPr="00F67102" w:rsidRDefault="009C6BB2" w:rsidP="00EC2F2D">
            <w:pPr>
              <w:jc w:val="left"/>
              <w:rPr>
                <w:color w:val="000000" w:themeColor="text1"/>
                <w:szCs w:val="24"/>
              </w:rPr>
            </w:pPr>
            <w:r w:rsidRPr="00F67102">
              <w:rPr>
                <w:color w:val="000000" w:themeColor="text1"/>
                <w:szCs w:val="24"/>
              </w:rPr>
              <w:t>%8.1 (26)</w:t>
            </w:r>
          </w:p>
        </w:tc>
      </w:tr>
      <w:tr w:rsidR="009C6BB2" w:rsidRPr="00F67102" w:rsidTr="00EC2F2D">
        <w:tc>
          <w:tcPr>
            <w:tcW w:w="3439" w:type="pct"/>
            <w:gridSpan w:val="3"/>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Hastanede ES transfüzyonu</w:t>
            </w:r>
          </w:p>
        </w:tc>
        <w:tc>
          <w:tcPr>
            <w:tcW w:w="1561" w:type="pct"/>
            <w:tcBorders>
              <w:top w:val="nil"/>
              <w:left w:val="nil"/>
              <w:bottom w:val="nil"/>
              <w:right w:val="nil"/>
            </w:tcBorders>
            <w:vAlign w:val="center"/>
          </w:tcPr>
          <w:p w:rsidR="009C6BB2" w:rsidRPr="00F67102" w:rsidRDefault="009C6BB2" w:rsidP="00EC2F2D">
            <w:pPr>
              <w:jc w:val="left"/>
              <w:rPr>
                <w:color w:val="000000" w:themeColor="text1"/>
                <w:szCs w:val="24"/>
              </w:rPr>
            </w:pPr>
            <w:r w:rsidRPr="00F67102">
              <w:rPr>
                <w:color w:val="000000" w:themeColor="text1"/>
                <w:szCs w:val="24"/>
              </w:rPr>
              <w:t>%1.9 (6)</w:t>
            </w:r>
          </w:p>
        </w:tc>
      </w:tr>
      <w:tr w:rsidR="009C6BB2" w:rsidRPr="00F67102" w:rsidTr="00EC2F2D">
        <w:tc>
          <w:tcPr>
            <w:tcW w:w="3439" w:type="pct"/>
            <w:gridSpan w:val="3"/>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Major kanama</w:t>
            </w:r>
          </w:p>
        </w:tc>
        <w:tc>
          <w:tcPr>
            <w:tcW w:w="1561" w:type="pct"/>
            <w:tcBorders>
              <w:top w:val="nil"/>
              <w:left w:val="nil"/>
              <w:bottom w:val="nil"/>
              <w:right w:val="nil"/>
            </w:tcBorders>
            <w:vAlign w:val="center"/>
          </w:tcPr>
          <w:p w:rsidR="009C6BB2" w:rsidRPr="00F67102" w:rsidRDefault="009C6BB2" w:rsidP="00EC2F2D">
            <w:pPr>
              <w:jc w:val="left"/>
              <w:rPr>
                <w:color w:val="000000" w:themeColor="text1"/>
                <w:szCs w:val="24"/>
              </w:rPr>
            </w:pPr>
            <w:r w:rsidRPr="00F67102">
              <w:rPr>
                <w:color w:val="000000" w:themeColor="text1"/>
                <w:szCs w:val="24"/>
              </w:rPr>
              <w:t>%0.6 (2)</w:t>
            </w:r>
          </w:p>
        </w:tc>
      </w:tr>
      <w:tr w:rsidR="009C6BB2" w:rsidRPr="00F67102" w:rsidTr="00EC2F2D">
        <w:tc>
          <w:tcPr>
            <w:tcW w:w="3439" w:type="pct"/>
            <w:gridSpan w:val="3"/>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Hastanede SVO</w:t>
            </w:r>
          </w:p>
        </w:tc>
        <w:tc>
          <w:tcPr>
            <w:tcW w:w="1561" w:type="pct"/>
            <w:tcBorders>
              <w:top w:val="nil"/>
              <w:left w:val="nil"/>
              <w:bottom w:val="nil"/>
              <w:right w:val="nil"/>
            </w:tcBorders>
            <w:vAlign w:val="center"/>
          </w:tcPr>
          <w:p w:rsidR="009C6BB2" w:rsidRPr="00F67102" w:rsidRDefault="009C6BB2" w:rsidP="00EC2F2D">
            <w:pPr>
              <w:jc w:val="left"/>
              <w:rPr>
                <w:color w:val="000000" w:themeColor="text1"/>
                <w:szCs w:val="24"/>
              </w:rPr>
            </w:pPr>
            <w:r w:rsidRPr="00F67102">
              <w:rPr>
                <w:color w:val="000000" w:themeColor="text1"/>
                <w:szCs w:val="24"/>
              </w:rPr>
              <w:t>%0.6 (2)</w:t>
            </w:r>
          </w:p>
        </w:tc>
      </w:tr>
      <w:tr w:rsidR="009C6BB2" w:rsidRPr="00F67102" w:rsidTr="00EC2F2D">
        <w:tc>
          <w:tcPr>
            <w:tcW w:w="3439" w:type="pct"/>
            <w:gridSpan w:val="3"/>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Evde ACEi-ARB</w:t>
            </w:r>
          </w:p>
        </w:tc>
        <w:tc>
          <w:tcPr>
            <w:tcW w:w="1561" w:type="pct"/>
            <w:tcBorders>
              <w:top w:val="nil"/>
              <w:left w:val="nil"/>
              <w:bottom w:val="nil"/>
              <w:right w:val="nil"/>
            </w:tcBorders>
            <w:vAlign w:val="center"/>
          </w:tcPr>
          <w:p w:rsidR="009C6BB2" w:rsidRPr="00F67102" w:rsidRDefault="009C6BB2" w:rsidP="00EC2F2D">
            <w:pPr>
              <w:jc w:val="left"/>
              <w:rPr>
                <w:color w:val="000000" w:themeColor="text1"/>
                <w:szCs w:val="24"/>
              </w:rPr>
            </w:pPr>
            <w:r w:rsidRPr="00F67102">
              <w:rPr>
                <w:color w:val="000000" w:themeColor="text1"/>
                <w:szCs w:val="24"/>
              </w:rPr>
              <w:t>33.3 (107)</w:t>
            </w:r>
          </w:p>
        </w:tc>
      </w:tr>
      <w:tr w:rsidR="009C6BB2" w:rsidRPr="00F67102" w:rsidTr="00EC2F2D">
        <w:tc>
          <w:tcPr>
            <w:tcW w:w="3439" w:type="pct"/>
            <w:gridSpan w:val="3"/>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lastRenderedPageBreak/>
              <w:t>Hastanede ACEi-ARB</w:t>
            </w:r>
          </w:p>
        </w:tc>
        <w:tc>
          <w:tcPr>
            <w:tcW w:w="1561" w:type="pct"/>
            <w:tcBorders>
              <w:top w:val="nil"/>
              <w:left w:val="nil"/>
              <w:bottom w:val="nil"/>
              <w:right w:val="nil"/>
            </w:tcBorders>
            <w:vAlign w:val="center"/>
          </w:tcPr>
          <w:p w:rsidR="009C6BB2" w:rsidRPr="00F67102" w:rsidRDefault="009C6BB2" w:rsidP="00EC2F2D">
            <w:pPr>
              <w:jc w:val="left"/>
              <w:rPr>
                <w:color w:val="000000" w:themeColor="text1"/>
                <w:szCs w:val="24"/>
              </w:rPr>
            </w:pPr>
            <w:r w:rsidRPr="00F67102">
              <w:rPr>
                <w:color w:val="000000" w:themeColor="text1"/>
                <w:szCs w:val="24"/>
              </w:rPr>
              <w:t>60.7 (195)</w:t>
            </w:r>
          </w:p>
        </w:tc>
      </w:tr>
      <w:tr w:rsidR="009C6BB2" w:rsidRPr="00F67102" w:rsidTr="00EC2F2D">
        <w:tc>
          <w:tcPr>
            <w:tcW w:w="3439" w:type="pct"/>
            <w:gridSpan w:val="3"/>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Evde Spironalakton</w:t>
            </w:r>
          </w:p>
        </w:tc>
        <w:tc>
          <w:tcPr>
            <w:tcW w:w="1561" w:type="pct"/>
            <w:tcBorders>
              <w:top w:val="nil"/>
              <w:left w:val="nil"/>
              <w:bottom w:val="nil"/>
              <w:right w:val="nil"/>
            </w:tcBorders>
            <w:vAlign w:val="center"/>
          </w:tcPr>
          <w:p w:rsidR="009C6BB2" w:rsidRPr="00F67102" w:rsidRDefault="009C6BB2" w:rsidP="00EC2F2D">
            <w:pPr>
              <w:jc w:val="left"/>
              <w:rPr>
                <w:color w:val="000000" w:themeColor="text1"/>
                <w:szCs w:val="24"/>
              </w:rPr>
            </w:pPr>
            <w:r w:rsidRPr="00F67102">
              <w:rPr>
                <w:color w:val="000000" w:themeColor="text1"/>
                <w:szCs w:val="24"/>
              </w:rPr>
              <w:t>2.8 (9)</w:t>
            </w:r>
          </w:p>
        </w:tc>
      </w:tr>
      <w:tr w:rsidR="009C6BB2" w:rsidRPr="00F67102" w:rsidTr="00EC2F2D">
        <w:tc>
          <w:tcPr>
            <w:tcW w:w="3439" w:type="pct"/>
            <w:gridSpan w:val="3"/>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Hastanede Spironalakton</w:t>
            </w:r>
          </w:p>
        </w:tc>
        <w:tc>
          <w:tcPr>
            <w:tcW w:w="1561" w:type="pct"/>
            <w:tcBorders>
              <w:top w:val="nil"/>
              <w:left w:val="nil"/>
              <w:bottom w:val="nil"/>
              <w:right w:val="nil"/>
            </w:tcBorders>
            <w:vAlign w:val="center"/>
          </w:tcPr>
          <w:p w:rsidR="009C6BB2" w:rsidRPr="00F67102" w:rsidRDefault="009C6BB2" w:rsidP="00EC2F2D">
            <w:pPr>
              <w:jc w:val="left"/>
              <w:rPr>
                <w:color w:val="000000" w:themeColor="text1"/>
                <w:szCs w:val="24"/>
              </w:rPr>
            </w:pPr>
            <w:r w:rsidRPr="00F67102">
              <w:rPr>
                <w:color w:val="000000" w:themeColor="text1"/>
                <w:szCs w:val="24"/>
              </w:rPr>
              <w:t>%4 (13)</w:t>
            </w:r>
          </w:p>
        </w:tc>
      </w:tr>
      <w:tr w:rsidR="009C6BB2" w:rsidRPr="00F67102" w:rsidTr="00EC2F2D">
        <w:tc>
          <w:tcPr>
            <w:tcW w:w="3439" w:type="pct"/>
            <w:gridSpan w:val="3"/>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Evde Furosemid</w:t>
            </w:r>
          </w:p>
        </w:tc>
        <w:tc>
          <w:tcPr>
            <w:tcW w:w="1561" w:type="pct"/>
            <w:tcBorders>
              <w:top w:val="nil"/>
              <w:left w:val="nil"/>
              <w:bottom w:val="nil"/>
              <w:right w:val="nil"/>
            </w:tcBorders>
            <w:vAlign w:val="center"/>
          </w:tcPr>
          <w:p w:rsidR="009C6BB2" w:rsidRPr="00F67102" w:rsidRDefault="009C6BB2" w:rsidP="00EC2F2D">
            <w:pPr>
              <w:jc w:val="left"/>
              <w:rPr>
                <w:color w:val="000000" w:themeColor="text1"/>
                <w:szCs w:val="24"/>
              </w:rPr>
            </w:pPr>
            <w:r w:rsidRPr="00F67102">
              <w:rPr>
                <w:color w:val="000000" w:themeColor="text1"/>
                <w:szCs w:val="24"/>
              </w:rPr>
              <w:t>%9.3 (30)</w:t>
            </w:r>
          </w:p>
        </w:tc>
      </w:tr>
      <w:tr w:rsidR="009C6BB2" w:rsidRPr="00F67102" w:rsidTr="00EC2F2D">
        <w:tc>
          <w:tcPr>
            <w:tcW w:w="3439" w:type="pct"/>
            <w:gridSpan w:val="3"/>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Hastanede Furosemid</w:t>
            </w:r>
          </w:p>
        </w:tc>
        <w:tc>
          <w:tcPr>
            <w:tcW w:w="1561" w:type="pct"/>
            <w:tcBorders>
              <w:top w:val="nil"/>
              <w:left w:val="nil"/>
              <w:bottom w:val="nil"/>
              <w:right w:val="nil"/>
            </w:tcBorders>
            <w:vAlign w:val="center"/>
          </w:tcPr>
          <w:p w:rsidR="009C6BB2" w:rsidRPr="00F67102" w:rsidRDefault="009C6BB2" w:rsidP="00EC2F2D">
            <w:pPr>
              <w:jc w:val="left"/>
              <w:rPr>
                <w:color w:val="000000" w:themeColor="text1"/>
                <w:szCs w:val="24"/>
              </w:rPr>
            </w:pPr>
            <w:r w:rsidRPr="00F67102">
              <w:rPr>
                <w:color w:val="000000" w:themeColor="text1"/>
                <w:szCs w:val="24"/>
              </w:rPr>
              <w:t>%18.1 (58)</w:t>
            </w:r>
          </w:p>
        </w:tc>
      </w:tr>
      <w:tr w:rsidR="009C6BB2" w:rsidRPr="00F67102" w:rsidTr="00EC2F2D">
        <w:tc>
          <w:tcPr>
            <w:tcW w:w="3439" w:type="pct"/>
            <w:gridSpan w:val="3"/>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Evde Statin</w:t>
            </w:r>
          </w:p>
        </w:tc>
        <w:tc>
          <w:tcPr>
            <w:tcW w:w="1561" w:type="pct"/>
            <w:tcBorders>
              <w:top w:val="nil"/>
              <w:left w:val="nil"/>
              <w:bottom w:val="nil"/>
              <w:right w:val="nil"/>
            </w:tcBorders>
            <w:vAlign w:val="center"/>
          </w:tcPr>
          <w:p w:rsidR="009C6BB2" w:rsidRPr="00F67102" w:rsidRDefault="009C6BB2" w:rsidP="00EC2F2D">
            <w:pPr>
              <w:jc w:val="left"/>
              <w:rPr>
                <w:color w:val="000000" w:themeColor="text1"/>
                <w:szCs w:val="24"/>
              </w:rPr>
            </w:pPr>
            <w:r w:rsidRPr="00F67102">
              <w:rPr>
                <w:color w:val="000000" w:themeColor="text1"/>
                <w:szCs w:val="24"/>
              </w:rPr>
              <w:t>%27.4 (88)</w:t>
            </w:r>
          </w:p>
        </w:tc>
      </w:tr>
      <w:tr w:rsidR="009C6BB2" w:rsidRPr="00F67102" w:rsidTr="00EC2F2D">
        <w:tc>
          <w:tcPr>
            <w:tcW w:w="3439" w:type="pct"/>
            <w:gridSpan w:val="3"/>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Hastanede Statin</w:t>
            </w:r>
          </w:p>
        </w:tc>
        <w:tc>
          <w:tcPr>
            <w:tcW w:w="1561" w:type="pct"/>
            <w:tcBorders>
              <w:top w:val="nil"/>
              <w:left w:val="nil"/>
              <w:bottom w:val="nil"/>
              <w:right w:val="nil"/>
            </w:tcBorders>
            <w:vAlign w:val="center"/>
          </w:tcPr>
          <w:p w:rsidR="009C6BB2" w:rsidRPr="00F67102" w:rsidRDefault="009C6BB2" w:rsidP="00EC2F2D">
            <w:pPr>
              <w:jc w:val="left"/>
              <w:rPr>
                <w:color w:val="000000" w:themeColor="text1"/>
                <w:szCs w:val="24"/>
              </w:rPr>
            </w:pPr>
            <w:r w:rsidRPr="00F67102">
              <w:rPr>
                <w:color w:val="000000" w:themeColor="text1"/>
                <w:szCs w:val="24"/>
              </w:rPr>
              <w:t>%92.5 (297)</w:t>
            </w:r>
          </w:p>
        </w:tc>
      </w:tr>
      <w:tr w:rsidR="009C6BB2" w:rsidRPr="00F67102" w:rsidTr="00EC2F2D">
        <w:tc>
          <w:tcPr>
            <w:tcW w:w="3439" w:type="pct"/>
            <w:gridSpan w:val="3"/>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Evde Asetilsalisilik Asit</w:t>
            </w:r>
          </w:p>
        </w:tc>
        <w:tc>
          <w:tcPr>
            <w:tcW w:w="1561" w:type="pct"/>
            <w:tcBorders>
              <w:top w:val="nil"/>
              <w:left w:val="nil"/>
              <w:bottom w:val="nil"/>
              <w:right w:val="nil"/>
            </w:tcBorders>
            <w:vAlign w:val="center"/>
          </w:tcPr>
          <w:p w:rsidR="009C6BB2" w:rsidRPr="00F67102" w:rsidRDefault="009C6BB2" w:rsidP="00EC2F2D">
            <w:pPr>
              <w:jc w:val="left"/>
              <w:rPr>
                <w:color w:val="000000" w:themeColor="text1"/>
                <w:szCs w:val="24"/>
              </w:rPr>
            </w:pPr>
            <w:r w:rsidRPr="00F67102">
              <w:rPr>
                <w:color w:val="000000" w:themeColor="text1"/>
                <w:szCs w:val="24"/>
              </w:rPr>
              <w:t>%48.3 (155)</w:t>
            </w:r>
          </w:p>
        </w:tc>
      </w:tr>
      <w:tr w:rsidR="009C6BB2" w:rsidRPr="00F67102" w:rsidTr="00EC2F2D">
        <w:tc>
          <w:tcPr>
            <w:tcW w:w="3439" w:type="pct"/>
            <w:gridSpan w:val="3"/>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Hastanede Asetilsalisilik Asit</w:t>
            </w:r>
          </w:p>
        </w:tc>
        <w:tc>
          <w:tcPr>
            <w:tcW w:w="1561" w:type="pct"/>
            <w:tcBorders>
              <w:top w:val="nil"/>
              <w:left w:val="nil"/>
              <w:bottom w:val="nil"/>
              <w:right w:val="nil"/>
            </w:tcBorders>
            <w:vAlign w:val="center"/>
          </w:tcPr>
          <w:p w:rsidR="009C6BB2" w:rsidRPr="00F67102" w:rsidRDefault="009C6BB2" w:rsidP="00EC2F2D">
            <w:pPr>
              <w:jc w:val="left"/>
              <w:rPr>
                <w:color w:val="000000" w:themeColor="text1"/>
                <w:szCs w:val="24"/>
              </w:rPr>
            </w:pPr>
            <w:r w:rsidRPr="00F67102">
              <w:rPr>
                <w:color w:val="000000" w:themeColor="text1"/>
                <w:szCs w:val="24"/>
              </w:rPr>
              <w:t>%99.4 (319)</w:t>
            </w:r>
          </w:p>
        </w:tc>
      </w:tr>
      <w:tr w:rsidR="009C6BB2" w:rsidRPr="00F67102" w:rsidTr="00EC2F2D">
        <w:tc>
          <w:tcPr>
            <w:tcW w:w="3439" w:type="pct"/>
            <w:gridSpan w:val="3"/>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Evde Klopidogrel</w:t>
            </w:r>
          </w:p>
        </w:tc>
        <w:tc>
          <w:tcPr>
            <w:tcW w:w="1561" w:type="pct"/>
            <w:tcBorders>
              <w:top w:val="nil"/>
              <w:left w:val="nil"/>
              <w:bottom w:val="nil"/>
              <w:right w:val="nil"/>
            </w:tcBorders>
            <w:vAlign w:val="center"/>
          </w:tcPr>
          <w:p w:rsidR="009C6BB2" w:rsidRPr="00F67102" w:rsidRDefault="009C6BB2" w:rsidP="00EC2F2D">
            <w:pPr>
              <w:jc w:val="left"/>
              <w:rPr>
                <w:color w:val="000000" w:themeColor="text1"/>
                <w:szCs w:val="24"/>
              </w:rPr>
            </w:pPr>
            <w:r w:rsidRPr="00F67102">
              <w:rPr>
                <w:color w:val="000000" w:themeColor="text1"/>
                <w:szCs w:val="24"/>
              </w:rPr>
              <w:t>%15 (48)</w:t>
            </w:r>
          </w:p>
        </w:tc>
      </w:tr>
      <w:tr w:rsidR="009C6BB2" w:rsidRPr="00F67102" w:rsidTr="00EC2F2D">
        <w:tc>
          <w:tcPr>
            <w:tcW w:w="3439" w:type="pct"/>
            <w:gridSpan w:val="3"/>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Hastanede Klopidogrel</w:t>
            </w:r>
          </w:p>
        </w:tc>
        <w:tc>
          <w:tcPr>
            <w:tcW w:w="1561" w:type="pct"/>
            <w:tcBorders>
              <w:top w:val="nil"/>
              <w:left w:val="nil"/>
              <w:bottom w:val="nil"/>
              <w:right w:val="nil"/>
            </w:tcBorders>
            <w:vAlign w:val="center"/>
          </w:tcPr>
          <w:p w:rsidR="009C6BB2" w:rsidRPr="00F67102" w:rsidRDefault="009C6BB2" w:rsidP="00EC2F2D">
            <w:pPr>
              <w:jc w:val="left"/>
              <w:rPr>
                <w:color w:val="000000" w:themeColor="text1"/>
                <w:szCs w:val="24"/>
              </w:rPr>
            </w:pPr>
            <w:r w:rsidRPr="00F67102">
              <w:rPr>
                <w:color w:val="000000" w:themeColor="text1"/>
                <w:szCs w:val="24"/>
              </w:rPr>
              <w:t>%71.3 (229)</w:t>
            </w:r>
          </w:p>
        </w:tc>
      </w:tr>
      <w:tr w:rsidR="009C6BB2" w:rsidRPr="00F67102" w:rsidTr="00EC2F2D">
        <w:tc>
          <w:tcPr>
            <w:tcW w:w="3439" w:type="pct"/>
            <w:gridSpan w:val="3"/>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PAB(mmHg)</w:t>
            </w:r>
            <w:r w:rsidRPr="00F67102">
              <w:rPr>
                <w:color w:val="000000" w:themeColor="text1"/>
                <w:szCs w:val="24"/>
                <w:vertAlign w:val="superscript"/>
              </w:rPr>
              <w:t xml:space="preserve"> β</w:t>
            </w:r>
          </w:p>
        </w:tc>
        <w:tc>
          <w:tcPr>
            <w:tcW w:w="1561" w:type="pct"/>
            <w:tcBorders>
              <w:top w:val="nil"/>
              <w:left w:val="nil"/>
              <w:bottom w:val="nil"/>
              <w:right w:val="nil"/>
            </w:tcBorders>
            <w:vAlign w:val="center"/>
          </w:tcPr>
          <w:p w:rsidR="009C6BB2" w:rsidRPr="00F67102" w:rsidRDefault="009C6BB2" w:rsidP="00EC2F2D">
            <w:pPr>
              <w:jc w:val="left"/>
              <w:rPr>
                <w:color w:val="000000" w:themeColor="text1"/>
                <w:szCs w:val="24"/>
              </w:rPr>
            </w:pPr>
            <w:r w:rsidRPr="00F67102">
              <w:rPr>
                <w:color w:val="000000" w:themeColor="text1"/>
                <w:szCs w:val="24"/>
              </w:rPr>
              <w:t>25 (15-80)</w:t>
            </w:r>
          </w:p>
        </w:tc>
      </w:tr>
      <w:tr w:rsidR="009C6BB2" w:rsidRPr="00F67102" w:rsidTr="00EC2F2D">
        <w:tc>
          <w:tcPr>
            <w:tcW w:w="3439" w:type="pct"/>
            <w:gridSpan w:val="3"/>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xml:space="preserve">EF(%) </w:t>
            </w:r>
            <w:r w:rsidRPr="00F67102">
              <w:rPr>
                <w:color w:val="000000" w:themeColor="text1"/>
                <w:szCs w:val="24"/>
                <w:vertAlign w:val="superscript"/>
              </w:rPr>
              <w:t>β</w:t>
            </w:r>
          </w:p>
        </w:tc>
        <w:tc>
          <w:tcPr>
            <w:tcW w:w="1561" w:type="pct"/>
            <w:tcBorders>
              <w:top w:val="nil"/>
              <w:left w:val="nil"/>
              <w:bottom w:val="nil"/>
              <w:right w:val="nil"/>
            </w:tcBorders>
            <w:vAlign w:val="center"/>
          </w:tcPr>
          <w:p w:rsidR="009C6BB2" w:rsidRPr="00F67102" w:rsidRDefault="009C6BB2" w:rsidP="00EC2F2D">
            <w:pPr>
              <w:jc w:val="left"/>
              <w:rPr>
                <w:color w:val="000000" w:themeColor="text1"/>
                <w:szCs w:val="24"/>
              </w:rPr>
            </w:pPr>
            <w:r w:rsidRPr="00F67102">
              <w:rPr>
                <w:color w:val="000000" w:themeColor="text1"/>
                <w:szCs w:val="24"/>
              </w:rPr>
              <w:t>50 (10-70)</w:t>
            </w:r>
          </w:p>
        </w:tc>
      </w:tr>
      <w:tr w:rsidR="009C6BB2" w:rsidRPr="00F67102" w:rsidTr="00EC2F2D">
        <w:tc>
          <w:tcPr>
            <w:tcW w:w="3439" w:type="pct"/>
            <w:gridSpan w:val="3"/>
            <w:tcBorders>
              <w:top w:val="nil"/>
              <w:left w:val="nil"/>
              <w:bottom w:val="nil"/>
              <w:right w:val="nil"/>
            </w:tcBorders>
          </w:tcPr>
          <w:p w:rsidR="009C6BB2" w:rsidRPr="00F67102" w:rsidRDefault="009C6BB2" w:rsidP="009C6BB2">
            <w:pPr>
              <w:rPr>
                <w:color w:val="000000" w:themeColor="text1"/>
                <w:szCs w:val="24"/>
                <w:vertAlign w:val="superscript"/>
              </w:rPr>
            </w:pPr>
            <w:r w:rsidRPr="00F67102">
              <w:rPr>
                <w:color w:val="000000" w:themeColor="text1"/>
                <w:szCs w:val="24"/>
              </w:rPr>
              <w:t xml:space="preserve">Total kolesterol(mg/dL) </w:t>
            </w:r>
            <w:r w:rsidRPr="00F67102">
              <w:rPr>
                <w:color w:val="000000" w:themeColor="text1"/>
                <w:szCs w:val="24"/>
                <w:vertAlign w:val="superscript"/>
              </w:rPr>
              <w:t>β</w:t>
            </w:r>
          </w:p>
        </w:tc>
        <w:tc>
          <w:tcPr>
            <w:tcW w:w="1561" w:type="pct"/>
            <w:tcBorders>
              <w:top w:val="nil"/>
              <w:left w:val="nil"/>
              <w:bottom w:val="nil"/>
              <w:right w:val="nil"/>
            </w:tcBorders>
            <w:vAlign w:val="center"/>
          </w:tcPr>
          <w:p w:rsidR="009C6BB2" w:rsidRPr="00F67102" w:rsidRDefault="009C6BB2" w:rsidP="00EC2F2D">
            <w:pPr>
              <w:jc w:val="left"/>
              <w:rPr>
                <w:color w:val="000000" w:themeColor="text1"/>
                <w:szCs w:val="24"/>
              </w:rPr>
            </w:pPr>
            <w:r w:rsidRPr="00F67102">
              <w:rPr>
                <w:color w:val="000000" w:themeColor="text1"/>
                <w:szCs w:val="24"/>
              </w:rPr>
              <w:t>176 (49-337)</w:t>
            </w:r>
          </w:p>
        </w:tc>
      </w:tr>
      <w:tr w:rsidR="009C6BB2" w:rsidRPr="00F67102" w:rsidTr="00EC2F2D">
        <w:tc>
          <w:tcPr>
            <w:tcW w:w="3439" w:type="pct"/>
            <w:gridSpan w:val="3"/>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LDL(mg/dL)</w:t>
            </w:r>
            <w:r w:rsidRPr="00F67102">
              <w:rPr>
                <w:color w:val="000000" w:themeColor="text1"/>
                <w:szCs w:val="24"/>
                <w:vertAlign w:val="superscript"/>
              </w:rPr>
              <w:t xml:space="preserve"> β</w:t>
            </w:r>
          </w:p>
        </w:tc>
        <w:tc>
          <w:tcPr>
            <w:tcW w:w="1561" w:type="pct"/>
            <w:tcBorders>
              <w:top w:val="nil"/>
              <w:left w:val="nil"/>
              <w:bottom w:val="nil"/>
              <w:right w:val="nil"/>
            </w:tcBorders>
            <w:vAlign w:val="center"/>
          </w:tcPr>
          <w:p w:rsidR="009C6BB2" w:rsidRPr="00F67102" w:rsidRDefault="009C6BB2" w:rsidP="00EC2F2D">
            <w:pPr>
              <w:jc w:val="left"/>
              <w:rPr>
                <w:color w:val="000000" w:themeColor="text1"/>
                <w:szCs w:val="24"/>
              </w:rPr>
            </w:pPr>
            <w:r w:rsidRPr="00F67102">
              <w:rPr>
                <w:color w:val="000000" w:themeColor="text1"/>
                <w:szCs w:val="24"/>
              </w:rPr>
              <w:t>108 (24-263)</w:t>
            </w:r>
          </w:p>
        </w:tc>
      </w:tr>
      <w:tr w:rsidR="009C6BB2" w:rsidRPr="00F67102" w:rsidTr="00EC2F2D">
        <w:tc>
          <w:tcPr>
            <w:tcW w:w="3439" w:type="pct"/>
            <w:gridSpan w:val="3"/>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HDL(mg/dL)</w:t>
            </w:r>
            <w:r w:rsidRPr="00F67102">
              <w:rPr>
                <w:color w:val="000000" w:themeColor="text1"/>
                <w:szCs w:val="24"/>
                <w:vertAlign w:val="superscript"/>
              </w:rPr>
              <w:t xml:space="preserve"> β</w:t>
            </w:r>
          </w:p>
        </w:tc>
        <w:tc>
          <w:tcPr>
            <w:tcW w:w="1561" w:type="pct"/>
            <w:tcBorders>
              <w:top w:val="nil"/>
              <w:left w:val="nil"/>
              <w:bottom w:val="nil"/>
              <w:right w:val="nil"/>
            </w:tcBorders>
            <w:vAlign w:val="center"/>
          </w:tcPr>
          <w:p w:rsidR="009C6BB2" w:rsidRPr="00F67102" w:rsidRDefault="009C6BB2" w:rsidP="00EC2F2D">
            <w:pPr>
              <w:jc w:val="left"/>
              <w:rPr>
                <w:color w:val="000000" w:themeColor="text1"/>
                <w:szCs w:val="24"/>
              </w:rPr>
            </w:pPr>
            <w:r w:rsidRPr="00F67102">
              <w:rPr>
                <w:color w:val="000000" w:themeColor="text1"/>
                <w:szCs w:val="24"/>
              </w:rPr>
              <w:t>36 (12-84)</w:t>
            </w:r>
          </w:p>
        </w:tc>
      </w:tr>
      <w:tr w:rsidR="009C6BB2" w:rsidRPr="00F67102" w:rsidTr="00EC2F2D">
        <w:tc>
          <w:tcPr>
            <w:tcW w:w="3439" w:type="pct"/>
            <w:gridSpan w:val="3"/>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TSH(uIU/mL)</w:t>
            </w:r>
            <w:r w:rsidRPr="00F67102">
              <w:rPr>
                <w:color w:val="000000" w:themeColor="text1"/>
                <w:szCs w:val="24"/>
                <w:vertAlign w:val="superscript"/>
              </w:rPr>
              <w:t xml:space="preserve"> β</w:t>
            </w:r>
          </w:p>
        </w:tc>
        <w:tc>
          <w:tcPr>
            <w:tcW w:w="1561" w:type="pct"/>
            <w:tcBorders>
              <w:top w:val="nil"/>
              <w:left w:val="nil"/>
              <w:bottom w:val="nil"/>
              <w:right w:val="nil"/>
            </w:tcBorders>
            <w:vAlign w:val="center"/>
          </w:tcPr>
          <w:p w:rsidR="009C6BB2" w:rsidRPr="00F67102" w:rsidRDefault="009C6BB2" w:rsidP="00EC2F2D">
            <w:pPr>
              <w:jc w:val="left"/>
              <w:rPr>
                <w:color w:val="000000" w:themeColor="text1"/>
                <w:szCs w:val="24"/>
              </w:rPr>
            </w:pPr>
            <w:r w:rsidRPr="00F67102">
              <w:rPr>
                <w:color w:val="000000" w:themeColor="text1"/>
                <w:szCs w:val="24"/>
              </w:rPr>
              <w:t>%1.14 (0-19)</w:t>
            </w:r>
          </w:p>
        </w:tc>
      </w:tr>
      <w:tr w:rsidR="009C6BB2" w:rsidRPr="00F67102" w:rsidTr="00EC2F2D">
        <w:tc>
          <w:tcPr>
            <w:tcW w:w="3439" w:type="pct"/>
            <w:gridSpan w:val="3"/>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Hemoglobin(g/dL)</w:t>
            </w:r>
            <w:r w:rsidRPr="00F67102">
              <w:rPr>
                <w:color w:val="000000" w:themeColor="text1"/>
                <w:szCs w:val="24"/>
                <w:vertAlign w:val="superscript"/>
              </w:rPr>
              <w:t xml:space="preserve"> α</w:t>
            </w:r>
          </w:p>
        </w:tc>
        <w:tc>
          <w:tcPr>
            <w:tcW w:w="1561" w:type="pct"/>
            <w:tcBorders>
              <w:top w:val="nil"/>
              <w:left w:val="nil"/>
              <w:bottom w:val="nil"/>
              <w:right w:val="nil"/>
            </w:tcBorders>
            <w:vAlign w:val="center"/>
          </w:tcPr>
          <w:p w:rsidR="009C6BB2" w:rsidRPr="00F67102" w:rsidRDefault="009C6BB2" w:rsidP="00EC2F2D">
            <w:pPr>
              <w:jc w:val="left"/>
              <w:rPr>
                <w:color w:val="000000" w:themeColor="text1"/>
                <w:szCs w:val="24"/>
              </w:rPr>
            </w:pPr>
            <w:r w:rsidRPr="00F67102">
              <w:rPr>
                <w:color w:val="000000" w:themeColor="text1"/>
                <w:szCs w:val="24"/>
              </w:rPr>
              <w:t>13.5</w:t>
            </w:r>
          </w:p>
        </w:tc>
      </w:tr>
      <w:tr w:rsidR="009C6BB2" w:rsidRPr="00F67102" w:rsidTr="00EC2F2D">
        <w:tc>
          <w:tcPr>
            <w:tcW w:w="3439" w:type="pct"/>
            <w:gridSpan w:val="3"/>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Hastanede yatış süresi(gün)</w:t>
            </w:r>
            <w:r w:rsidRPr="00F67102">
              <w:rPr>
                <w:color w:val="000000" w:themeColor="text1"/>
                <w:szCs w:val="24"/>
                <w:vertAlign w:val="superscript"/>
              </w:rPr>
              <w:t xml:space="preserve"> β</w:t>
            </w:r>
          </w:p>
        </w:tc>
        <w:tc>
          <w:tcPr>
            <w:tcW w:w="1561" w:type="pct"/>
            <w:tcBorders>
              <w:top w:val="nil"/>
              <w:left w:val="nil"/>
              <w:bottom w:val="nil"/>
              <w:right w:val="nil"/>
            </w:tcBorders>
            <w:vAlign w:val="center"/>
          </w:tcPr>
          <w:p w:rsidR="009C6BB2" w:rsidRPr="00F67102" w:rsidRDefault="009C6BB2" w:rsidP="00EC2F2D">
            <w:pPr>
              <w:jc w:val="left"/>
              <w:rPr>
                <w:color w:val="000000" w:themeColor="text1"/>
                <w:szCs w:val="24"/>
              </w:rPr>
            </w:pPr>
            <w:r w:rsidRPr="00F67102">
              <w:rPr>
                <w:color w:val="000000" w:themeColor="text1"/>
                <w:szCs w:val="24"/>
              </w:rPr>
              <w:t>4 (3-25)</w:t>
            </w:r>
          </w:p>
        </w:tc>
      </w:tr>
      <w:tr w:rsidR="009C6BB2" w:rsidRPr="00F67102" w:rsidTr="00EC2F2D">
        <w:tc>
          <w:tcPr>
            <w:tcW w:w="3439" w:type="pct"/>
            <w:gridSpan w:val="3"/>
            <w:tcBorders>
              <w:top w:val="nil"/>
              <w:left w:val="nil"/>
              <w:bottom w:val="single" w:sz="4" w:space="0" w:color="auto"/>
              <w:right w:val="nil"/>
            </w:tcBorders>
          </w:tcPr>
          <w:p w:rsidR="009C6BB2" w:rsidRPr="00F67102" w:rsidRDefault="009C6BB2" w:rsidP="009C6BB2">
            <w:pPr>
              <w:rPr>
                <w:color w:val="000000" w:themeColor="text1"/>
                <w:szCs w:val="24"/>
              </w:rPr>
            </w:pPr>
            <w:r w:rsidRPr="00F67102">
              <w:rPr>
                <w:color w:val="000000" w:themeColor="text1"/>
                <w:szCs w:val="24"/>
              </w:rPr>
              <w:t>Hastanede mortalite</w:t>
            </w:r>
          </w:p>
        </w:tc>
        <w:tc>
          <w:tcPr>
            <w:tcW w:w="1561" w:type="pct"/>
            <w:tcBorders>
              <w:top w:val="nil"/>
              <w:left w:val="nil"/>
              <w:bottom w:val="single" w:sz="4" w:space="0" w:color="auto"/>
              <w:right w:val="nil"/>
            </w:tcBorders>
            <w:vAlign w:val="center"/>
          </w:tcPr>
          <w:p w:rsidR="009C6BB2" w:rsidRPr="00F67102" w:rsidRDefault="009C6BB2" w:rsidP="00EC2F2D">
            <w:pPr>
              <w:jc w:val="left"/>
              <w:rPr>
                <w:color w:val="000000" w:themeColor="text1"/>
                <w:szCs w:val="24"/>
              </w:rPr>
            </w:pPr>
            <w:r w:rsidRPr="00F67102">
              <w:rPr>
                <w:color w:val="000000" w:themeColor="text1"/>
                <w:szCs w:val="24"/>
              </w:rPr>
              <w:t>%5.9 (19)</w:t>
            </w:r>
          </w:p>
        </w:tc>
      </w:tr>
    </w:tbl>
    <w:p w:rsidR="009C6BB2" w:rsidRPr="00F67102" w:rsidRDefault="00AC612D" w:rsidP="009C6BB2">
      <w:pPr>
        <w:rPr>
          <w:color w:val="000000" w:themeColor="text1"/>
        </w:rPr>
      </w:pPr>
      <w:r w:rsidRPr="00F67102">
        <w:rPr>
          <w:color w:val="000000" w:themeColor="text1"/>
          <w:vertAlign w:val="superscript"/>
        </w:rPr>
        <w:t xml:space="preserve">α </w:t>
      </w:r>
      <w:r w:rsidR="009C6BB2" w:rsidRPr="00EC2F2D">
        <w:rPr>
          <w:color w:val="000000" w:themeColor="text1"/>
          <w:sz w:val="20"/>
        </w:rPr>
        <w:t>=ortalama değeri belirtir,</w:t>
      </w:r>
      <w:r w:rsidR="009C6BB2" w:rsidRPr="00F67102">
        <w:rPr>
          <w:color w:val="000000" w:themeColor="text1"/>
        </w:rPr>
        <w:t xml:space="preserve"> </w:t>
      </w:r>
      <w:r w:rsidRPr="00F67102">
        <w:rPr>
          <w:color w:val="000000" w:themeColor="text1"/>
          <w:vertAlign w:val="superscript"/>
        </w:rPr>
        <w:t>β</w:t>
      </w:r>
      <w:r w:rsidR="009C6BB2" w:rsidRPr="00F67102">
        <w:rPr>
          <w:color w:val="000000" w:themeColor="text1"/>
          <w:vertAlign w:val="superscript"/>
        </w:rPr>
        <w:t xml:space="preserve"> </w:t>
      </w:r>
      <w:r w:rsidR="009C6BB2" w:rsidRPr="00EC2F2D">
        <w:rPr>
          <w:color w:val="000000" w:themeColor="text1"/>
          <w:sz w:val="20"/>
        </w:rPr>
        <w:t>=ortanca değeri belirtir</w:t>
      </w:r>
    </w:p>
    <w:p w:rsidR="009C6BB2" w:rsidRPr="00F67102" w:rsidRDefault="009C6BB2" w:rsidP="009C6BB2">
      <w:pPr>
        <w:rPr>
          <w:color w:val="000000" w:themeColor="text1"/>
        </w:rPr>
      </w:pPr>
    </w:p>
    <w:p w:rsidR="009C6BB2" w:rsidRPr="00F67102" w:rsidRDefault="00EC2F2D" w:rsidP="009C6BB2">
      <w:pPr>
        <w:rPr>
          <w:color w:val="000000" w:themeColor="text1"/>
        </w:rPr>
      </w:pPr>
      <w:r>
        <w:rPr>
          <w:color w:val="000000" w:themeColor="text1"/>
        </w:rPr>
        <w:tab/>
      </w:r>
      <w:r w:rsidR="009C6BB2" w:rsidRPr="00F67102">
        <w:rPr>
          <w:color w:val="000000" w:themeColor="text1"/>
        </w:rPr>
        <w:t xml:space="preserve">Tüm hastaların %29.3 (94)'ü kadın, %70.7 (227)'si erkek olup yaş ortalaması 63.3'tür. Sigara içenlerin oranı %32.4(104), diyabetik olanların oranı %38.6 (124), hipertansiflerin oranı %72 (231), KBH'sı olanların oranı %19.6 (63), hiperlipidemisi olanların oranı %42.7 (137), tekrarlayan akut koroner sendrom öyküsü olanların oranı %40.8 (131), daha önce koroner by-pass olanların oranı %21.8 (70), geçirilmiş SVO'su olanların oranı %5.3 (17), periferik arter hastalığı öyküsü olanların oranı %3.1(10), anemisi olanların oranı %22.1(71), hipotansif olanların oranı %5.3 (17) olarak ölçülmüştür. Hastaların %5.3 (17)'ünde AV blok, %3.1(10)'inde kardiyojenik şok, %1.6 (5)'sında ventriküler taşikardi, %3.7 (12)'sinde ventriküler fibrilasyon, %3.4 (11)'inde kronik AF, %8.1 (26)'inde hastanede gelişen AF gözlenmiştir. Major kanama %0.6 (2)'sında görülürken eritrosit süspansiyonu desteği gereksinimi %1.9 (6)'sında olmuştur. Hastanede SVO geçirenler %0.6 (2) oranında saptanmıştır. Hastaların %33.3 (107)'ü rutin olarak </w:t>
      </w:r>
      <w:r w:rsidR="009C6BB2" w:rsidRPr="00F67102">
        <w:rPr>
          <w:color w:val="000000" w:themeColor="text1"/>
        </w:rPr>
        <w:lastRenderedPageBreak/>
        <w:t>evde, %60.7 (195)'si hastanede ACEi ve ARB kullanmıştır. Hastaların %2.8 (9)'i rutin olarak evde, %4 (13)'ü hastanede spironalakton kullanmıştır. Hastaların %9.3 (30)'u rutin olarak evde, %18.1 (58)'i hastanede furosemid kullanmıştır. Hastaların %27.4 (88)'ü rutin olarak evde, %92.5 (297)'i hastanede statin kullanmıştır. Hastaların %48.3 (155)'ü rutin olarak evde asetilsalisilik asit, %99.4 (319)'u hastanede asetilsalisilik asit, %15 (48)'i rutin olarak evde, %71.3 (229)'u hastanede klopidogrel kullanmıştır. Hastaların %48.3 (155)'ü rutin olarak evde kullanmıştır. EKO ve laboratuvar değerlerine bakıldığında hastaların ortanca PAB değeri 25 (15-80) mmHg, ortanca EF değeri %50 (10-70),  ortanca total kolesterol değeri 176 (49-337) mg/dL, ortanca LDL değeri 108 (24-263) mg/dL, ortanca HDL değeri 36 (12-84) mg/dL, ortanca TSH değeri 1.14 (0-19) uIU/mL, ortalama hemoglobin düzeyi 13.5 g/dL  olarak hesaplanmıştır. Hastanede yatış süresi ortanca değeri 4 (3-25) gün olarak saptanmıştır. Hastanede ölüm %5.9 (19) oranında saptanmıştır.</w:t>
      </w:r>
    </w:p>
    <w:p w:rsidR="009C6BB2" w:rsidRDefault="009C6BB2" w:rsidP="009C6BB2">
      <w:pPr>
        <w:rPr>
          <w:color w:val="000000" w:themeColor="text1"/>
          <w:u w:val="single"/>
        </w:rPr>
      </w:pPr>
    </w:p>
    <w:p w:rsidR="00EC2F2D" w:rsidRDefault="00EC2F2D" w:rsidP="009C6BB2">
      <w:pPr>
        <w:rPr>
          <w:color w:val="000000" w:themeColor="text1"/>
          <w:u w:val="single"/>
        </w:rPr>
      </w:pPr>
    </w:p>
    <w:p w:rsidR="009C6BB2" w:rsidRPr="00F83379" w:rsidRDefault="00EC2F2D" w:rsidP="00EC2F2D">
      <w:pPr>
        <w:pStyle w:val="ResimYazs"/>
        <w:rPr>
          <w:b w:val="0"/>
          <w:color w:val="000000" w:themeColor="text1"/>
        </w:rPr>
      </w:pPr>
      <w:bookmarkStart w:id="44" w:name="_Toc459713113"/>
      <w:r>
        <w:t xml:space="preserve">Tablo </w:t>
      </w:r>
      <w:r w:rsidR="001715F4">
        <w:t>4</w:t>
      </w:r>
      <w:r w:rsidR="00382CFB">
        <w:t>.</w:t>
      </w:r>
      <w:r w:rsidR="00C57A06">
        <w:fldChar w:fldCharType="begin"/>
      </w:r>
      <w:r w:rsidR="00353523">
        <w:instrText xml:space="preserve"> SEQ Tablo \* ARABIC \s 1 </w:instrText>
      </w:r>
      <w:r w:rsidR="00C57A06">
        <w:fldChar w:fldCharType="separate"/>
      </w:r>
      <w:r w:rsidR="001C364D">
        <w:rPr>
          <w:noProof/>
        </w:rPr>
        <w:t>2</w:t>
      </w:r>
      <w:r w:rsidR="00C57A06">
        <w:rPr>
          <w:noProof/>
        </w:rPr>
        <w:fldChar w:fldCharType="end"/>
      </w:r>
      <w:r>
        <w:t xml:space="preserve">. </w:t>
      </w:r>
      <w:r w:rsidR="009C6BB2" w:rsidRPr="00EC2F2D">
        <w:rPr>
          <w:color w:val="000000" w:themeColor="text1"/>
        </w:rPr>
        <w:t>Kontrast Öncesi ABH Gelişenler ve Gelişmeyenlerin Karşılaştırılması</w:t>
      </w:r>
      <w:bookmarkEnd w:id="44"/>
    </w:p>
    <w:tbl>
      <w:tblPr>
        <w:tblStyle w:val="TabloKlavuzu"/>
        <w:tblW w:w="0" w:type="auto"/>
        <w:tblLook w:val="04A0"/>
      </w:tblPr>
      <w:tblGrid>
        <w:gridCol w:w="1330"/>
        <w:gridCol w:w="1472"/>
        <w:gridCol w:w="1901"/>
        <w:gridCol w:w="367"/>
        <w:gridCol w:w="2644"/>
        <w:gridCol w:w="1289"/>
      </w:tblGrid>
      <w:tr w:rsidR="009C6BB2" w:rsidRPr="00F67102" w:rsidTr="00EC2F2D">
        <w:tc>
          <w:tcPr>
            <w:tcW w:w="2802" w:type="dxa"/>
            <w:gridSpan w:val="2"/>
            <w:tcBorders>
              <w:left w:val="nil"/>
              <w:bottom w:val="single" w:sz="4" w:space="0" w:color="000000"/>
              <w:right w:val="nil"/>
            </w:tcBorders>
            <w:vAlign w:val="center"/>
          </w:tcPr>
          <w:p w:rsidR="009C6BB2" w:rsidRPr="00EC2F2D" w:rsidRDefault="009C6BB2" w:rsidP="00EC2F2D">
            <w:pPr>
              <w:jc w:val="center"/>
              <w:rPr>
                <w:b/>
                <w:color w:val="000000" w:themeColor="text1"/>
                <w:szCs w:val="24"/>
              </w:rPr>
            </w:pPr>
            <w:r w:rsidRPr="00EC2F2D">
              <w:rPr>
                <w:b/>
                <w:color w:val="000000" w:themeColor="text1"/>
                <w:szCs w:val="24"/>
              </w:rPr>
              <w:t>Parametreler(birim)</w:t>
            </w:r>
          </w:p>
        </w:tc>
        <w:tc>
          <w:tcPr>
            <w:tcW w:w="1901" w:type="dxa"/>
            <w:tcBorders>
              <w:left w:val="nil"/>
              <w:bottom w:val="single" w:sz="4" w:space="0" w:color="000000"/>
              <w:right w:val="nil"/>
            </w:tcBorders>
            <w:vAlign w:val="center"/>
          </w:tcPr>
          <w:p w:rsidR="009C6BB2" w:rsidRPr="00EC2F2D" w:rsidRDefault="009C6BB2" w:rsidP="00EC2F2D">
            <w:pPr>
              <w:jc w:val="center"/>
              <w:rPr>
                <w:b/>
                <w:color w:val="000000" w:themeColor="text1"/>
                <w:szCs w:val="24"/>
              </w:rPr>
            </w:pPr>
            <w:r w:rsidRPr="00EC2F2D">
              <w:rPr>
                <w:b/>
                <w:color w:val="000000" w:themeColor="text1"/>
                <w:szCs w:val="24"/>
              </w:rPr>
              <w:t>Kontrast öncesi ABH</w:t>
            </w:r>
          </w:p>
          <w:p w:rsidR="009C6BB2" w:rsidRPr="00EC2F2D" w:rsidRDefault="009C6BB2" w:rsidP="00EC2F2D">
            <w:pPr>
              <w:jc w:val="center"/>
              <w:rPr>
                <w:b/>
                <w:color w:val="000000" w:themeColor="text1"/>
                <w:szCs w:val="24"/>
              </w:rPr>
            </w:pPr>
            <w:r w:rsidRPr="00EC2F2D">
              <w:rPr>
                <w:b/>
                <w:color w:val="000000" w:themeColor="text1"/>
                <w:szCs w:val="24"/>
              </w:rPr>
              <w:t>%13.7 (44)</w:t>
            </w:r>
          </w:p>
        </w:tc>
        <w:tc>
          <w:tcPr>
            <w:tcW w:w="3011" w:type="dxa"/>
            <w:gridSpan w:val="2"/>
            <w:tcBorders>
              <w:left w:val="nil"/>
              <w:bottom w:val="single" w:sz="4" w:space="0" w:color="000000"/>
              <w:right w:val="nil"/>
            </w:tcBorders>
            <w:vAlign w:val="center"/>
          </w:tcPr>
          <w:p w:rsidR="009C6BB2" w:rsidRPr="00EC2F2D" w:rsidRDefault="009C6BB2" w:rsidP="00EC2F2D">
            <w:pPr>
              <w:jc w:val="center"/>
              <w:rPr>
                <w:b/>
                <w:color w:val="000000" w:themeColor="text1"/>
                <w:szCs w:val="24"/>
              </w:rPr>
            </w:pPr>
            <w:r w:rsidRPr="00EC2F2D">
              <w:rPr>
                <w:b/>
                <w:color w:val="000000" w:themeColor="text1"/>
                <w:szCs w:val="24"/>
              </w:rPr>
              <w:t>Kontrast öncesi ABH olmayanlar</w:t>
            </w:r>
          </w:p>
          <w:p w:rsidR="009C6BB2" w:rsidRPr="00EC2F2D" w:rsidRDefault="009C6BB2" w:rsidP="00EC2F2D">
            <w:pPr>
              <w:jc w:val="center"/>
              <w:rPr>
                <w:b/>
                <w:color w:val="000000" w:themeColor="text1"/>
                <w:szCs w:val="24"/>
              </w:rPr>
            </w:pPr>
            <w:r w:rsidRPr="00EC2F2D">
              <w:rPr>
                <w:b/>
                <w:color w:val="000000" w:themeColor="text1"/>
                <w:szCs w:val="24"/>
              </w:rPr>
              <w:t>%86.3 (277)</w:t>
            </w:r>
          </w:p>
        </w:tc>
        <w:tc>
          <w:tcPr>
            <w:tcW w:w="1289" w:type="dxa"/>
            <w:tcBorders>
              <w:left w:val="nil"/>
              <w:bottom w:val="single" w:sz="4" w:space="0" w:color="000000"/>
              <w:right w:val="nil"/>
            </w:tcBorders>
            <w:vAlign w:val="center"/>
          </w:tcPr>
          <w:p w:rsidR="009C6BB2" w:rsidRPr="00EC2F2D" w:rsidRDefault="009C6BB2" w:rsidP="00EC2F2D">
            <w:pPr>
              <w:jc w:val="center"/>
              <w:rPr>
                <w:b/>
                <w:color w:val="000000" w:themeColor="text1"/>
                <w:szCs w:val="24"/>
              </w:rPr>
            </w:pPr>
            <w:r w:rsidRPr="00EC2F2D">
              <w:rPr>
                <w:b/>
                <w:color w:val="000000" w:themeColor="text1"/>
                <w:szCs w:val="24"/>
              </w:rPr>
              <w:t>P değeri</w:t>
            </w:r>
          </w:p>
        </w:tc>
      </w:tr>
      <w:tr w:rsidR="009C6BB2" w:rsidRPr="00F67102" w:rsidTr="00EC2F2D">
        <w:trPr>
          <w:trHeight w:val="245"/>
        </w:trPr>
        <w:tc>
          <w:tcPr>
            <w:tcW w:w="1330" w:type="dxa"/>
            <w:vMerge w:val="restart"/>
            <w:tcBorders>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Cinsiyet</w:t>
            </w:r>
          </w:p>
          <w:p w:rsidR="009C6BB2" w:rsidRPr="00F67102" w:rsidRDefault="009C6BB2" w:rsidP="009C6BB2">
            <w:pPr>
              <w:rPr>
                <w:color w:val="000000" w:themeColor="text1"/>
                <w:szCs w:val="24"/>
              </w:rPr>
            </w:pPr>
          </w:p>
        </w:tc>
        <w:tc>
          <w:tcPr>
            <w:tcW w:w="1472" w:type="dxa"/>
            <w:tcBorders>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Kadın</w:t>
            </w:r>
          </w:p>
        </w:tc>
        <w:tc>
          <w:tcPr>
            <w:tcW w:w="2268" w:type="dxa"/>
            <w:gridSpan w:val="2"/>
            <w:vMerge w:val="restart"/>
            <w:tcBorders>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36.4 (16)</w:t>
            </w:r>
          </w:p>
          <w:p w:rsidR="009C6BB2" w:rsidRPr="00F67102" w:rsidRDefault="009C6BB2" w:rsidP="009C6BB2">
            <w:pPr>
              <w:rPr>
                <w:color w:val="000000" w:themeColor="text1"/>
                <w:szCs w:val="24"/>
              </w:rPr>
            </w:pPr>
            <w:r w:rsidRPr="00F67102">
              <w:rPr>
                <w:color w:val="000000" w:themeColor="text1"/>
                <w:szCs w:val="24"/>
              </w:rPr>
              <w:t xml:space="preserve">% 63.6 (28) </w:t>
            </w:r>
          </w:p>
        </w:tc>
        <w:tc>
          <w:tcPr>
            <w:tcW w:w="2644" w:type="dxa"/>
            <w:vMerge w:val="restart"/>
            <w:tcBorders>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28.2 (78)</w:t>
            </w:r>
          </w:p>
          <w:p w:rsidR="009C6BB2" w:rsidRPr="00F67102" w:rsidRDefault="009C6BB2" w:rsidP="009C6BB2">
            <w:pPr>
              <w:rPr>
                <w:color w:val="000000" w:themeColor="text1"/>
                <w:szCs w:val="24"/>
              </w:rPr>
            </w:pPr>
            <w:r w:rsidRPr="00F67102">
              <w:rPr>
                <w:color w:val="000000" w:themeColor="text1"/>
                <w:szCs w:val="24"/>
              </w:rPr>
              <w:t>% 71.8 (199)</w:t>
            </w:r>
          </w:p>
        </w:tc>
        <w:tc>
          <w:tcPr>
            <w:tcW w:w="1289" w:type="dxa"/>
            <w:vMerge w:val="restart"/>
            <w:tcBorders>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0.287</w:t>
            </w:r>
          </w:p>
        </w:tc>
      </w:tr>
      <w:tr w:rsidR="009C6BB2" w:rsidRPr="00F67102" w:rsidTr="00EC2F2D">
        <w:trPr>
          <w:trHeight w:val="244"/>
        </w:trPr>
        <w:tc>
          <w:tcPr>
            <w:tcW w:w="1330" w:type="dxa"/>
            <w:vMerge/>
            <w:tcBorders>
              <w:top w:val="nil"/>
              <w:left w:val="nil"/>
              <w:bottom w:val="nil"/>
              <w:right w:val="nil"/>
            </w:tcBorders>
          </w:tcPr>
          <w:p w:rsidR="009C6BB2" w:rsidRPr="00F67102" w:rsidRDefault="009C6BB2" w:rsidP="009C6BB2">
            <w:pPr>
              <w:rPr>
                <w:color w:val="000000" w:themeColor="text1"/>
                <w:szCs w:val="24"/>
              </w:rPr>
            </w:pPr>
          </w:p>
        </w:tc>
        <w:tc>
          <w:tcPr>
            <w:tcW w:w="1472"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Erkek</w:t>
            </w:r>
          </w:p>
        </w:tc>
        <w:tc>
          <w:tcPr>
            <w:tcW w:w="2268" w:type="dxa"/>
            <w:gridSpan w:val="2"/>
            <w:vMerge/>
            <w:tcBorders>
              <w:top w:val="nil"/>
              <w:left w:val="nil"/>
              <w:bottom w:val="nil"/>
              <w:right w:val="nil"/>
            </w:tcBorders>
          </w:tcPr>
          <w:p w:rsidR="009C6BB2" w:rsidRPr="00F67102" w:rsidRDefault="009C6BB2" w:rsidP="009C6BB2">
            <w:pPr>
              <w:rPr>
                <w:color w:val="000000" w:themeColor="text1"/>
                <w:szCs w:val="24"/>
              </w:rPr>
            </w:pPr>
          </w:p>
        </w:tc>
        <w:tc>
          <w:tcPr>
            <w:tcW w:w="2644" w:type="dxa"/>
            <w:vMerge/>
            <w:tcBorders>
              <w:top w:val="nil"/>
              <w:left w:val="nil"/>
              <w:bottom w:val="nil"/>
              <w:right w:val="nil"/>
            </w:tcBorders>
          </w:tcPr>
          <w:p w:rsidR="009C6BB2" w:rsidRPr="00F67102" w:rsidRDefault="009C6BB2" w:rsidP="009C6BB2">
            <w:pPr>
              <w:rPr>
                <w:color w:val="000000" w:themeColor="text1"/>
                <w:szCs w:val="24"/>
              </w:rPr>
            </w:pPr>
          </w:p>
        </w:tc>
        <w:tc>
          <w:tcPr>
            <w:tcW w:w="1289" w:type="dxa"/>
            <w:vMerge/>
            <w:tcBorders>
              <w:top w:val="nil"/>
              <w:left w:val="nil"/>
              <w:bottom w:val="nil"/>
              <w:right w:val="nil"/>
            </w:tcBorders>
          </w:tcPr>
          <w:p w:rsidR="009C6BB2" w:rsidRPr="00F67102" w:rsidRDefault="009C6BB2" w:rsidP="009C6BB2">
            <w:pPr>
              <w:rPr>
                <w:color w:val="000000" w:themeColor="text1"/>
                <w:szCs w:val="24"/>
              </w:rPr>
            </w:pPr>
          </w:p>
        </w:tc>
      </w:tr>
      <w:tr w:rsidR="009C6BB2" w:rsidRPr="00F67102" w:rsidTr="00EC2F2D">
        <w:tc>
          <w:tcPr>
            <w:tcW w:w="2802" w:type="dxa"/>
            <w:gridSpan w:val="2"/>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xml:space="preserve">Yaş </w:t>
            </w:r>
            <w:r w:rsidRPr="00F67102">
              <w:rPr>
                <w:color w:val="000000" w:themeColor="text1"/>
                <w:szCs w:val="24"/>
                <w:vertAlign w:val="superscript"/>
              </w:rPr>
              <w:t>α</w:t>
            </w:r>
          </w:p>
        </w:tc>
        <w:tc>
          <w:tcPr>
            <w:tcW w:w="2268" w:type="dxa"/>
            <w:gridSpan w:val="2"/>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69.59</w:t>
            </w:r>
          </w:p>
        </w:tc>
        <w:tc>
          <w:tcPr>
            <w:tcW w:w="2644"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62.3</w:t>
            </w:r>
          </w:p>
        </w:tc>
        <w:tc>
          <w:tcPr>
            <w:tcW w:w="1289" w:type="dxa"/>
            <w:tcBorders>
              <w:top w:val="nil"/>
              <w:left w:val="nil"/>
              <w:bottom w:val="nil"/>
              <w:right w:val="nil"/>
            </w:tcBorders>
          </w:tcPr>
          <w:p w:rsidR="009C6BB2" w:rsidRPr="00F67102" w:rsidRDefault="009C6BB2" w:rsidP="009C6BB2">
            <w:pPr>
              <w:rPr>
                <w:b/>
                <w:color w:val="000000" w:themeColor="text1"/>
                <w:szCs w:val="24"/>
              </w:rPr>
            </w:pPr>
            <w:r w:rsidRPr="00F67102">
              <w:rPr>
                <w:b/>
                <w:color w:val="000000" w:themeColor="text1"/>
                <w:szCs w:val="24"/>
              </w:rPr>
              <w:t>&lt;0.001*</w:t>
            </w:r>
          </w:p>
        </w:tc>
      </w:tr>
      <w:tr w:rsidR="009C6BB2" w:rsidRPr="00F67102" w:rsidTr="00EC2F2D">
        <w:tc>
          <w:tcPr>
            <w:tcW w:w="2802" w:type="dxa"/>
            <w:gridSpan w:val="2"/>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Sigara</w:t>
            </w:r>
          </w:p>
        </w:tc>
        <w:tc>
          <w:tcPr>
            <w:tcW w:w="2268" w:type="dxa"/>
            <w:gridSpan w:val="2"/>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20.5 (9)</w:t>
            </w:r>
          </w:p>
        </w:tc>
        <w:tc>
          <w:tcPr>
            <w:tcW w:w="2644"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34.3 (95)</w:t>
            </w:r>
          </w:p>
        </w:tc>
        <w:tc>
          <w:tcPr>
            <w:tcW w:w="1289"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0.083</w:t>
            </w:r>
          </w:p>
        </w:tc>
      </w:tr>
      <w:tr w:rsidR="009C6BB2" w:rsidRPr="00F67102" w:rsidTr="00EC2F2D">
        <w:tc>
          <w:tcPr>
            <w:tcW w:w="2802" w:type="dxa"/>
            <w:gridSpan w:val="2"/>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DM</w:t>
            </w:r>
          </w:p>
        </w:tc>
        <w:tc>
          <w:tcPr>
            <w:tcW w:w="2268" w:type="dxa"/>
            <w:gridSpan w:val="2"/>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43.2 (19)</w:t>
            </w:r>
          </w:p>
        </w:tc>
        <w:tc>
          <w:tcPr>
            <w:tcW w:w="2644"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37.9 (105)</w:t>
            </w:r>
          </w:p>
        </w:tc>
        <w:tc>
          <w:tcPr>
            <w:tcW w:w="1289"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0.510</w:t>
            </w:r>
          </w:p>
        </w:tc>
      </w:tr>
      <w:tr w:rsidR="009C6BB2" w:rsidRPr="00F67102" w:rsidTr="00EC2F2D">
        <w:tc>
          <w:tcPr>
            <w:tcW w:w="2802" w:type="dxa"/>
            <w:gridSpan w:val="2"/>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HT</w:t>
            </w:r>
          </w:p>
        </w:tc>
        <w:tc>
          <w:tcPr>
            <w:tcW w:w="2268" w:type="dxa"/>
            <w:gridSpan w:val="2"/>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86.4 (38)</w:t>
            </w:r>
          </w:p>
        </w:tc>
        <w:tc>
          <w:tcPr>
            <w:tcW w:w="2644"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69.7 (193)</w:t>
            </w:r>
          </w:p>
        </w:tc>
        <w:tc>
          <w:tcPr>
            <w:tcW w:w="1289" w:type="dxa"/>
            <w:tcBorders>
              <w:top w:val="nil"/>
              <w:left w:val="nil"/>
              <w:bottom w:val="nil"/>
              <w:right w:val="nil"/>
            </w:tcBorders>
          </w:tcPr>
          <w:p w:rsidR="009C6BB2" w:rsidRPr="00F67102" w:rsidRDefault="009C6BB2" w:rsidP="009C6BB2">
            <w:pPr>
              <w:rPr>
                <w:b/>
                <w:color w:val="000000" w:themeColor="text1"/>
                <w:szCs w:val="24"/>
              </w:rPr>
            </w:pPr>
            <w:r w:rsidRPr="00F67102">
              <w:rPr>
                <w:b/>
                <w:color w:val="000000" w:themeColor="text1"/>
                <w:szCs w:val="24"/>
              </w:rPr>
              <w:t>0.029*</w:t>
            </w:r>
          </w:p>
        </w:tc>
      </w:tr>
      <w:tr w:rsidR="009C6BB2" w:rsidRPr="00F67102" w:rsidTr="00EC2F2D">
        <w:tc>
          <w:tcPr>
            <w:tcW w:w="2802" w:type="dxa"/>
            <w:gridSpan w:val="2"/>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KBH</w:t>
            </w:r>
          </w:p>
        </w:tc>
        <w:tc>
          <w:tcPr>
            <w:tcW w:w="2268" w:type="dxa"/>
            <w:gridSpan w:val="2"/>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29.5 (13)</w:t>
            </w:r>
          </w:p>
        </w:tc>
        <w:tc>
          <w:tcPr>
            <w:tcW w:w="2644"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18.1 (50)</w:t>
            </w:r>
          </w:p>
        </w:tc>
        <w:tc>
          <w:tcPr>
            <w:tcW w:w="1289"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0.100</w:t>
            </w:r>
          </w:p>
        </w:tc>
      </w:tr>
      <w:tr w:rsidR="009C6BB2" w:rsidRPr="00F67102" w:rsidTr="00EC2F2D">
        <w:tc>
          <w:tcPr>
            <w:tcW w:w="2802" w:type="dxa"/>
            <w:gridSpan w:val="2"/>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HL</w:t>
            </w:r>
          </w:p>
        </w:tc>
        <w:tc>
          <w:tcPr>
            <w:tcW w:w="2268" w:type="dxa"/>
            <w:gridSpan w:val="2"/>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50 (22)</w:t>
            </w:r>
          </w:p>
        </w:tc>
        <w:tc>
          <w:tcPr>
            <w:tcW w:w="2644"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41.5 (115)</w:t>
            </w:r>
          </w:p>
        </w:tc>
        <w:tc>
          <w:tcPr>
            <w:tcW w:w="1289" w:type="dxa"/>
            <w:tcBorders>
              <w:top w:val="nil"/>
              <w:left w:val="nil"/>
              <w:bottom w:val="nil"/>
              <w:right w:val="nil"/>
            </w:tcBorders>
          </w:tcPr>
          <w:p w:rsidR="009C6BB2" w:rsidRPr="00F67102" w:rsidRDefault="009C6BB2" w:rsidP="009C6BB2">
            <w:pPr>
              <w:rPr>
                <w:b/>
                <w:color w:val="000000" w:themeColor="text1"/>
                <w:szCs w:val="24"/>
              </w:rPr>
            </w:pPr>
            <w:r w:rsidRPr="00F67102">
              <w:rPr>
                <w:color w:val="000000" w:themeColor="text1"/>
                <w:szCs w:val="24"/>
              </w:rPr>
              <w:t>0.326</w:t>
            </w:r>
          </w:p>
        </w:tc>
      </w:tr>
      <w:tr w:rsidR="009C6BB2" w:rsidRPr="00F67102" w:rsidTr="00EC2F2D">
        <w:tc>
          <w:tcPr>
            <w:tcW w:w="2802" w:type="dxa"/>
            <w:gridSpan w:val="2"/>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Tekrarlayan AKS</w:t>
            </w:r>
          </w:p>
        </w:tc>
        <w:tc>
          <w:tcPr>
            <w:tcW w:w="2268" w:type="dxa"/>
            <w:gridSpan w:val="2"/>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43.2 (19)</w:t>
            </w:r>
          </w:p>
        </w:tc>
        <w:tc>
          <w:tcPr>
            <w:tcW w:w="2644"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40.4 (112)</w:t>
            </w:r>
          </w:p>
        </w:tc>
        <w:tc>
          <w:tcPr>
            <w:tcW w:w="1289"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0.744</w:t>
            </w:r>
          </w:p>
        </w:tc>
      </w:tr>
      <w:tr w:rsidR="009C6BB2" w:rsidRPr="00F67102" w:rsidTr="00EC2F2D">
        <w:tc>
          <w:tcPr>
            <w:tcW w:w="2802" w:type="dxa"/>
            <w:gridSpan w:val="2"/>
            <w:tcBorders>
              <w:top w:val="nil"/>
              <w:left w:val="nil"/>
              <w:bottom w:val="nil"/>
              <w:right w:val="nil"/>
            </w:tcBorders>
          </w:tcPr>
          <w:p w:rsidR="009C6BB2" w:rsidRPr="00F67102" w:rsidRDefault="009C6BB2" w:rsidP="00EC2F2D">
            <w:pPr>
              <w:jc w:val="left"/>
              <w:rPr>
                <w:color w:val="000000" w:themeColor="text1"/>
                <w:szCs w:val="24"/>
              </w:rPr>
            </w:pPr>
            <w:r w:rsidRPr="00F67102">
              <w:rPr>
                <w:color w:val="000000" w:themeColor="text1"/>
                <w:szCs w:val="24"/>
              </w:rPr>
              <w:t xml:space="preserve">Geçirilmiş Koroner </w:t>
            </w:r>
            <w:r w:rsidR="00EC2F2D">
              <w:rPr>
                <w:color w:val="000000" w:themeColor="text1"/>
                <w:szCs w:val="24"/>
              </w:rPr>
              <w:t xml:space="preserve">     </w:t>
            </w:r>
            <w:r w:rsidRPr="00F67102">
              <w:rPr>
                <w:color w:val="000000" w:themeColor="text1"/>
                <w:szCs w:val="24"/>
              </w:rPr>
              <w:t>By-pass</w:t>
            </w:r>
          </w:p>
        </w:tc>
        <w:tc>
          <w:tcPr>
            <w:tcW w:w="2268" w:type="dxa"/>
            <w:gridSpan w:val="2"/>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25 (11)</w:t>
            </w:r>
          </w:p>
        </w:tc>
        <w:tc>
          <w:tcPr>
            <w:tcW w:w="2644"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21.3 (59)</w:t>
            </w:r>
          </w:p>
        </w:tc>
        <w:tc>
          <w:tcPr>
            <w:tcW w:w="1289"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0.560</w:t>
            </w:r>
          </w:p>
        </w:tc>
      </w:tr>
      <w:tr w:rsidR="009C6BB2" w:rsidRPr="00F67102" w:rsidTr="00EC2F2D">
        <w:tc>
          <w:tcPr>
            <w:tcW w:w="2802" w:type="dxa"/>
            <w:gridSpan w:val="2"/>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Geçirilmiş SVO</w:t>
            </w:r>
          </w:p>
        </w:tc>
        <w:tc>
          <w:tcPr>
            <w:tcW w:w="2268" w:type="dxa"/>
            <w:gridSpan w:val="2"/>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4.5 (2)</w:t>
            </w:r>
          </w:p>
        </w:tc>
        <w:tc>
          <w:tcPr>
            <w:tcW w:w="2644"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5.4 (15)</w:t>
            </w:r>
          </w:p>
        </w:tc>
        <w:tc>
          <w:tcPr>
            <w:tcW w:w="1289"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1.000</w:t>
            </w:r>
          </w:p>
        </w:tc>
      </w:tr>
      <w:tr w:rsidR="009C6BB2" w:rsidRPr="00F67102" w:rsidTr="00EC2F2D">
        <w:tc>
          <w:tcPr>
            <w:tcW w:w="2802" w:type="dxa"/>
            <w:gridSpan w:val="2"/>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Anemi</w:t>
            </w:r>
          </w:p>
        </w:tc>
        <w:tc>
          <w:tcPr>
            <w:tcW w:w="2268" w:type="dxa"/>
            <w:gridSpan w:val="2"/>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29.5 (13)</w:t>
            </w:r>
          </w:p>
        </w:tc>
        <w:tc>
          <w:tcPr>
            <w:tcW w:w="2644"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21.7 (60)</w:t>
            </w:r>
          </w:p>
        </w:tc>
        <w:tc>
          <w:tcPr>
            <w:tcW w:w="1289"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0.250</w:t>
            </w:r>
          </w:p>
        </w:tc>
      </w:tr>
      <w:tr w:rsidR="009C6BB2" w:rsidRPr="00F67102" w:rsidTr="00EC2F2D">
        <w:tc>
          <w:tcPr>
            <w:tcW w:w="2802" w:type="dxa"/>
            <w:gridSpan w:val="2"/>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Hipotansiyon</w:t>
            </w:r>
          </w:p>
        </w:tc>
        <w:tc>
          <w:tcPr>
            <w:tcW w:w="2268" w:type="dxa"/>
            <w:gridSpan w:val="2"/>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11.4 (5)</w:t>
            </w:r>
          </w:p>
        </w:tc>
        <w:tc>
          <w:tcPr>
            <w:tcW w:w="2644"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4.3 (12)</w:t>
            </w:r>
          </w:p>
        </w:tc>
        <w:tc>
          <w:tcPr>
            <w:tcW w:w="1289"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0.067</w:t>
            </w:r>
          </w:p>
        </w:tc>
      </w:tr>
      <w:tr w:rsidR="009C6BB2" w:rsidRPr="00F67102" w:rsidTr="00EC2F2D">
        <w:tc>
          <w:tcPr>
            <w:tcW w:w="2802" w:type="dxa"/>
            <w:gridSpan w:val="2"/>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AV blok</w:t>
            </w:r>
          </w:p>
        </w:tc>
        <w:tc>
          <w:tcPr>
            <w:tcW w:w="2268" w:type="dxa"/>
            <w:gridSpan w:val="2"/>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15.9 (7)</w:t>
            </w:r>
          </w:p>
        </w:tc>
        <w:tc>
          <w:tcPr>
            <w:tcW w:w="2644"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3.6 (10)</w:t>
            </w:r>
          </w:p>
        </w:tc>
        <w:tc>
          <w:tcPr>
            <w:tcW w:w="1289" w:type="dxa"/>
            <w:tcBorders>
              <w:top w:val="nil"/>
              <w:left w:val="nil"/>
              <w:bottom w:val="nil"/>
              <w:right w:val="nil"/>
            </w:tcBorders>
          </w:tcPr>
          <w:p w:rsidR="009C6BB2" w:rsidRPr="00F67102" w:rsidRDefault="009C6BB2" w:rsidP="009C6BB2">
            <w:pPr>
              <w:rPr>
                <w:b/>
                <w:color w:val="000000" w:themeColor="text1"/>
                <w:szCs w:val="24"/>
              </w:rPr>
            </w:pPr>
            <w:r w:rsidRPr="00F67102">
              <w:rPr>
                <w:b/>
                <w:color w:val="000000" w:themeColor="text1"/>
                <w:szCs w:val="24"/>
              </w:rPr>
              <w:t>0.004*</w:t>
            </w:r>
          </w:p>
        </w:tc>
      </w:tr>
      <w:tr w:rsidR="009C6BB2" w:rsidRPr="00F67102" w:rsidTr="00EC2F2D">
        <w:tc>
          <w:tcPr>
            <w:tcW w:w="2802" w:type="dxa"/>
            <w:gridSpan w:val="2"/>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lastRenderedPageBreak/>
              <w:t>Kardiyojenik Şok</w:t>
            </w:r>
          </w:p>
        </w:tc>
        <w:tc>
          <w:tcPr>
            <w:tcW w:w="2268" w:type="dxa"/>
            <w:gridSpan w:val="2"/>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13.6 (6)</w:t>
            </w:r>
          </w:p>
        </w:tc>
        <w:tc>
          <w:tcPr>
            <w:tcW w:w="2644"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1.8 (5)</w:t>
            </w:r>
          </w:p>
        </w:tc>
        <w:tc>
          <w:tcPr>
            <w:tcW w:w="1289" w:type="dxa"/>
            <w:tcBorders>
              <w:top w:val="nil"/>
              <w:left w:val="nil"/>
              <w:bottom w:val="nil"/>
              <w:right w:val="nil"/>
            </w:tcBorders>
          </w:tcPr>
          <w:p w:rsidR="009C6BB2" w:rsidRPr="00F67102" w:rsidRDefault="009C6BB2" w:rsidP="009C6BB2">
            <w:pPr>
              <w:rPr>
                <w:b/>
                <w:color w:val="000000" w:themeColor="text1"/>
                <w:szCs w:val="24"/>
              </w:rPr>
            </w:pPr>
            <w:r w:rsidRPr="00F67102">
              <w:rPr>
                <w:b/>
                <w:color w:val="000000" w:themeColor="text1"/>
                <w:szCs w:val="24"/>
              </w:rPr>
              <w:t>0.001*</w:t>
            </w:r>
          </w:p>
        </w:tc>
      </w:tr>
      <w:tr w:rsidR="009C6BB2" w:rsidRPr="00F67102" w:rsidTr="00EC2F2D">
        <w:tc>
          <w:tcPr>
            <w:tcW w:w="2802" w:type="dxa"/>
            <w:gridSpan w:val="2"/>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VT</w:t>
            </w:r>
          </w:p>
        </w:tc>
        <w:tc>
          <w:tcPr>
            <w:tcW w:w="2268" w:type="dxa"/>
            <w:gridSpan w:val="2"/>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4.5 (2)</w:t>
            </w:r>
          </w:p>
        </w:tc>
        <w:tc>
          <w:tcPr>
            <w:tcW w:w="2644"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1.1 (3)</w:t>
            </w:r>
          </w:p>
        </w:tc>
        <w:tc>
          <w:tcPr>
            <w:tcW w:w="1289"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0.140</w:t>
            </w:r>
          </w:p>
        </w:tc>
      </w:tr>
      <w:tr w:rsidR="009C6BB2" w:rsidRPr="00F67102" w:rsidTr="00EC2F2D">
        <w:tc>
          <w:tcPr>
            <w:tcW w:w="2802" w:type="dxa"/>
            <w:gridSpan w:val="2"/>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VF</w:t>
            </w:r>
          </w:p>
        </w:tc>
        <w:tc>
          <w:tcPr>
            <w:tcW w:w="2268" w:type="dxa"/>
            <w:gridSpan w:val="2"/>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6.8 (3)</w:t>
            </w:r>
          </w:p>
        </w:tc>
        <w:tc>
          <w:tcPr>
            <w:tcW w:w="2644"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3.2 (9)</w:t>
            </w:r>
          </w:p>
        </w:tc>
        <w:tc>
          <w:tcPr>
            <w:tcW w:w="1289"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0.218</w:t>
            </w:r>
          </w:p>
        </w:tc>
      </w:tr>
      <w:tr w:rsidR="009C6BB2" w:rsidRPr="00F67102" w:rsidTr="00EC2F2D">
        <w:tc>
          <w:tcPr>
            <w:tcW w:w="2802" w:type="dxa"/>
            <w:gridSpan w:val="2"/>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Daha önce kronik AF</w:t>
            </w:r>
          </w:p>
        </w:tc>
        <w:tc>
          <w:tcPr>
            <w:tcW w:w="2268" w:type="dxa"/>
            <w:gridSpan w:val="2"/>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4.5 (2)</w:t>
            </w:r>
          </w:p>
        </w:tc>
        <w:tc>
          <w:tcPr>
            <w:tcW w:w="2644"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3.2 (9)</w:t>
            </w:r>
          </w:p>
        </w:tc>
        <w:tc>
          <w:tcPr>
            <w:tcW w:w="1289"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0.652</w:t>
            </w:r>
          </w:p>
        </w:tc>
      </w:tr>
      <w:tr w:rsidR="009C6BB2" w:rsidRPr="00F67102" w:rsidTr="00EC2F2D">
        <w:tc>
          <w:tcPr>
            <w:tcW w:w="2802" w:type="dxa"/>
            <w:gridSpan w:val="2"/>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Hastanede AF</w:t>
            </w:r>
          </w:p>
        </w:tc>
        <w:tc>
          <w:tcPr>
            <w:tcW w:w="2268" w:type="dxa"/>
            <w:gridSpan w:val="2"/>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25 (11)</w:t>
            </w:r>
          </w:p>
        </w:tc>
        <w:tc>
          <w:tcPr>
            <w:tcW w:w="2644"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5.4 (15)</w:t>
            </w:r>
          </w:p>
        </w:tc>
        <w:tc>
          <w:tcPr>
            <w:tcW w:w="1289" w:type="dxa"/>
            <w:tcBorders>
              <w:top w:val="nil"/>
              <w:left w:val="nil"/>
              <w:bottom w:val="nil"/>
              <w:right w:val="nil"/>
            </w:tcBorders>
          </w:tcPr>
          <w:p w:rsidR="009C6BB2" w:rsidRPr="00F67102" w:rsidRDefault="009C6BB2" w:rsidP="009C6BB2">
            <w:pPr>
              <w:rPr>
                <w:b/>
                <w:color w:val="000000" w:themeColor="text1"/>
                <w:szCs w:val="24"/>
              </w:rPr>
            </w:pPr>
            <w:r w:rsidRPr="00F67102">
              <w:rPr>
                <w:b/>
                <w:color w:val="000000" w:themeColor="text1"/>
                <w:szCs w:val="24"/>
              </w:rPr>
              <w:t>&lt;0.001*</w:t>
            </w:r>
          </w:p>
        </w:tc>
      </w:tr>
      <w:tr w:rsidR="009C6BB2" w:rsidRPr="00F67102" w:rsidTr="00EC2F2D">
        <w:tc>
          <w:tcPr>
            <w:tcW w:w="2802" w:type="dxa"/>
            <w:gridSpan w:val="2"/>
            <w:tcBorders>
              <w:top w:val="nil"/>
              <w:left w:val="nil"/>
              <w:bottom w:val="nil"/>
              <w:right w:val="nil"/>
            </w:tcBorders>
          </w:tcPr>
          <w:p w:rsidR="009C6BB2" w:rsidRPr="00F67102" w:rsidRDefault="009C6BB2" w:rsidP="00EC2F2D">
            <w:pPr>
              <w:jc w:val="left"/>
              <w:rPr>
                <w:color w:val="000000" w:themeColor="text1"/>
                <w:szCs w:val="24"/>
              </w:rPr>
            </w:pPr>
            <w:r w:rsidRPr="00F67102">
              <w:rPr>
                <w:color w:val="000000" w:themeColor="text1"/>
                <w:szCs w:val="24"/>
              </w:rPr>
              <w:t>Hastanede ES transfüzyonu</w:t>
            </w:r>
          </w:p>
        </w:tc>
        <w:tc>
          <w:tcPr>
            <w:tcW w:w="2268" w:type="dxa"/>
            <w:gridSpan w:val="2"/>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4.5 (2)</w:t>
            </w:r>
          </w:p>
        </w:tc>
        <w:tc>
          <w:tcPr>
            <w:tcW w:w="2644"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1.4 (4)</w:t>
            </w:r>
          </w:p>
        </w:tc>
        <w:tc>
          <w:tcPr>
            <w:tcW w:w="1289"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0.192</w:t>
            </w:r>
          </w:p>
        </w:tc>
      </w:tr>
      <w:tr w:rsidR="009C6BB2" w:rsidRPr="00F67102" w:rsidTr="00EC2F2D">
        <w:tc>
          <w:tcPr>
            <w:tcW w:w="2802" w:type="dxa"/>
            <w:gridSpan w:val="2"/>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Major kanama</w:t>
            </w:r>
          </w:p>
        </w:tc>
        <w:tc>
          <w:tcPr>
            <w:tcW w:w="2268" w:type="dxa"/>
            <w:gridSpan w:val="2"/>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2.3 (1)</w:t>
            </w:r>
          </w:p>
        </w:tc>
        <w:tc>
          <w:tcPr>
            <w:tcW w:w="2644"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0.4 (1)</w:t>
            </w:r>
          </w:p>
        </w:tc>
        <w:tc>
          <w:tcPr>
            <w:tcW w:w="1289"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0.256</w:t>
            </w:r>
          </w:p>
        </w:tc>
      </w:tr>
      <w:tr w:rsidR="009C6BB2" w:rsidRPr="00F67102" w:rsidTr="00EC2F2D">
        <w:tc>
          <w:tcPr>
            <w:tcW w:w="2802" w:type="dxa"/>
            <w:gridSpan w:val="2"/>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Hastanede SVO</w:t>
            </w:r>
          </w:p>
        </w:tc>
        <w:tc>
          <w:tcPr>
            <w:tcW w:w="2268" w:type="dxa"/>
            <w:gridSpan w:val="2"/>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2.3 (1)</w:t>
            </w:r>
          </w:p>
        </w:tc>
        <w:tc>
          <w:tcPr>
            <w:tcW w:w="2644"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0.4 (1)</w:t>
            </w:r>
          </w:p>
        </w:tc>
        <w:tc>
          <w:tcPr>
            <w:tcW w:w="1289"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0.256</w:t>
            </w:r>
          </w:p>
        </w:tc>
      </w:tr>
      <w:tr w:rsidR="009C6BB2" w:rsidRPr="00F67102" w:rsidTr="00EC2F2D">
        <w:tc>
          <w:tcPr>
            <w:tcW w:w="2802" w:type="dxa"/>
            <w:gridSpan w:val="2"/>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Evde ACEi-ARB</w:t>
            </w:r>
          </w:p>
        </w:tc>
        <w:tc>
          <w:tcPr>
            <w:tcW w:w="2268" w:type="dxa"/>
            <w:gridSpan w:val="2"/>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34.1 (15)</w:t>
            </w:r>
          </w:p>
        </w:tc>
        <w:tc>
          <w:tcPr>
            <w:tcW w:w="2644"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33.2 (92)</w:t>
            </w:r>
          </w:p>
        </w:tc>
        <w:tc>
          <w:tcPr>
            <w:tcW w:w="1289"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1.000</w:t>
            </w:r>
          </w:p>
        </w:tc>
      </w:tr>
      <w:tr w:rsidR="009C6BB2" w:rsidRPr="00F67102" w:rsidTr="00EC2F2D">
        <w:tc>
          <w:tcPr>
            <w:tcW w:w="2802" w:type="dxa"/>
            <w:gridSpan w:val="2"/>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Hastanede ACEi-ARB</w:t>
            </w:r>
          </w:p>
        </w:tc>
        <w:tc>
          <w:tcPr>
            <w:tcW w:w="2268" w:type="dxa"/>
            <w:gridSpan w:val="2"/>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40.9 (18)</w:t>
            </w:r>
          </w:p>
        </w:tc>
        <w:tc>
          <w:tcPr>
            <w:tcW w:w="2644"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63.9 (177)</w:t>
            </w:r>
          </w:p>
        </w:tc>
        <w:tc>
          <w:tcPr>
            <w:tcW w:w="1289" w:type="dxa"/>
            <w:tcBorders>
              <w:top w:val="nil"/>
              <w:left w:val="nil"/>
              <w:bottom w:val="nil"/>
              <w:right w:val="nil"/>
            </w:tcBorders>
          </w:tcPr>
          <w:p w:rsidR="009C6BB2" w:rsidRPr="00F67102" w:rsidRDefault="009C6BB2" w:rsidP="009C6BB2">
            <w:pPr>
              <w:rPr>
                <w:b/>
                <w:color w:val="000000" w:themeColor="text1"/>
                <w:szCs w:val="24"/>
              </w:rPr>
            </w:pPr>
            <w:r w:rsidRPr="00F67102">
              <w:rPr>
                <w:b/>
                <w:color w:val="000000" w:themeColor="text1"/>
                <w:szCs w:val="24"/>
              </w:rPr>
              <w:t>0.005*</w:t>
            </w:r>
          </w:p>
        </w:tc>
      </w:tr>
      <w:tr w:rsidR="009C6BB2" w:rsidRPr="00F67102" w:rsidTr="00EC2F2D">
        <w:tc>
          <w:tcPr>
            <w:tcW w:w="2802" w:type="dxa"/>
            <w:gridSpan w:val="2"/>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Evde Spironalakton</w:t>
            </w:r>
          </w:p>
        </w:tc>
        <w:tc>
          <w:tcPr>
            <w:tcW w:w="2268" w:type="dxa"/>
            <w:gridSpan w:val="2"/>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6.8 (3)</w:t>
            </w:r>
          </w:p>
        </w:tc>
        <w:tc>
          <w:tcPr>
            <w:tcW w:w="2644"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2.2 (6)</w:t>
            </w:r>
          </w:p>
        </w:tc>
        <w:tc>
          <w:tcPr>
            <w:tcW w:w="1289"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0.112</w:t>
            </w:r>
          </w:p>
        </w:tc>
      </w:tr>
      <w:tr w:rsidR="009C6BB2" w:rsidRPr="00F67102" w:rsidTr="00EC2F2D">
        <w:tc>
          <w:tcPr>
            <w:tcW w:w="2802" w:type="dxa"/>
            <w:gridSpan w:val="2"/>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Hastanede Spironalakton</w:t>
            </w:r>
          </w:p>
        </w:tc>
        <w:tc>
          <w:tcPr>
            <w:tcW w:w="2268" w:type="dxa"/>
            <w:gridSpan w:val="2"/>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6.8 (3)</w:t>
            </w:r>
          </w:p>
        </w:tc>
        <w:tc>
          <w:tcPr>
            <w:tcW w:w="2644"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3.6 (10)</w:t>
            </w:r>
          </w:p>
        </w:tc>
        <w:tc>
          <w:tcPr>
            <w:tcW w:w="1289"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0.399</w:t>
            </w:r>
          </w:p>
        </w:tc>
      </w:tr>
      <w:tr w:rsidR="009C6BB2" w:rsidRPr="00F67102" w:rsidTr="00EC2F2D">
        <w:tc>
          <w:tcPr>
            <w:tcW w:w="2802" w:type="dxa"/>
            <w:gridSpan w:val="2"/>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Evde Furosemid</w:t>
            </w:r>
          </w:p>
        </w:tc>
        <w:tc>
          <w:tcPr>
            <w:tcW w:w="2268" w:type="dxa"/>
            <w:gridSpan w:val="2"/>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25 (11)</w:t>
            </w:r>
          </w:p>
        </w:tc>
        <w:tc>
          <w:tcPr>
            <w:tcW w:w="2644"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6.9 (19)</w:t>
            </w:r>
          </w:p>
        </w:tc>
        <w:tc>
          <w:tcPr>
            <w:tcW w:w="1289" w:type="dxa"/>
            <w:tcBorders>
              <w:top w:val="nil"/>
              <w:left w:val="nil"/>
              <w:bottom w:val="nil"/>
              <w:right w:val="nil"/>
            </w:tcBorders>
          </w:tcPr>
          <w:p w:rsidR="009C6BB2" w:rsidRPr="00F67102" w:rsidRDefault="009C6BB2" w:rsidP="009C6BB2">
            <w:pPr>
              <w:rPr>
                <w:b/>
                <w:color w:val="000000" w:themeColor="text1"/>
                <w:szCs w:val="24"/>
              </w:rPr>
            </w:pPr>
            <w:r w:rsidRPr="00F67102">
              <w:rPr>
                <w:b/>
                <w:color w:val="000000" w:themeColor="text1"/>
                <w:szCs w:val="24"/>
              </w:rPr>
              <w:t>0.001*</w:t>
            </w:r>
          </w:p>
        </w:tc>
      </w:tr>
      <w:tr w:rsidR="009C6BB2" w:rsidRPr="00F67102" w:rsidTr="00EC2F2D">
        <w:tc>
          <w:tcPr>
            <w:tcW w:w="2802" w:type="dxa"/>
            <w:gridSpan w:val="2"/>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Hastanede Furosemid</w:t>
            </w:r>
          </w:p>
        </w:tc>
        <w:tc>
          <w:tcPr>
            <w:tcW w:w="2268" w:type="dxa"/>
            <w:gridSpan w:val="2"/>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50 (22)</w:t>
            </w:r>
          </w:p>
        </w:tc>
        <w:tc>
          <w:tcPr>
            <w:tcW w:w="2644"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13 (36)</w:t>
            </w:r>
          </w:p>
        </w:tc>
        <w:tc>
          <w:tcPr>
            <w:tcW w:w="1289" w:type="dxa"/>
            <w:tcBorders>
              <w:top w:val="nil"/>
              <w:left w:val="nil"/>
              <w:bottom w:val="nil"/>
              <w:right w:val="nil"/>
            </w:tcBorders>
          </w:tcPr>
          <w:p w:rsidR="009C6BB2" w:rsidRPr="00F67102" w:rsidRDefault="009C6BB2" w:rsidP="009C6BB2">
            <w:pPr>
              <w:rPr>
                <w:b/>
                <w:color w:val="000000" w:themeColor="text1"/>
                <w:szCs w:val="24"/>
              </w:rPr>
            </w:pPr>
            <w:r w:rsidRPr="00F67102">
              <w:rPr>
                <w:b/>
                <w:color w:val="000000" w:themeColor="text1"/>
                <w:szCs w:val="24"/>
              </w:rPr>
              <w:t>&lt;0.001*</w:t>
            </w:r>
          </w:p>
        </w:tc>
      </w:tr>
      <w:tr w:rsidR="009C6BB2" w:rsidRPr="00F67102" w:rsidTr="00EC2F2D">
        <w:tc>
          <w:tcPr>
            <w:tcW w:w="2802" w:type="dxa"/>
            <w:gridSpan w:val="2"/>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Evde Statin</w:t>
            </w:r>
          </w:p>
        </w:tc>
        <w:tc>
          <w:tcPr>
            <w:tcW w:w="2268" w:type="dxa"/>
            <w:gridSpan w:val="2"/>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25 (11)</w:t>
            </w:r>
          </w:p>
        </w:tc>
        <w:tc>
          <w:tcPr>
            <w:tcW w:w="2644"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27.8 (77)</w:t>
            </w:r>
          </w:p>
        </w:tc>
        <w:tc>
          <w:tcPr>
            <w:tcW w:w="1289"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0.856</w:t>
            </w:r>
          </w:p>
        </w:tc>
      </w:tr>
      <w:tr w:rsidR="009C6BB2" w:rsidRPr="00F67102" w:rsidTr="00EC2F2D">
        <w:tc>
          <w:tcPr>
            <w:tcW w:w="2802" w:type="dxa"/>
            <w:gridSpan w:val="2"/>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Hastanede Statin</w:t>
            </w:r>
          </w:p>
        </w:tc>
        <w:tc>
          <w:tcPr>
            <w:tcW w:w="2268" w:type="dxa"/>
            <w:gridSpan w:val="2"/>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88.6 (39)</w:t>
            </w:r>
          </w:p>
        </w:tc>
        <w:tc>
          <w:tcPr>
            <w:tcW w:w="2644"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91.3 (258)</w:t>
            </w:r>
          </w:p>
        </w:tc>
        <w:tc>
          <w:tcPr>
            <w:tcW w:w="1289"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0.349</w:t>
            </w:r>
          </w:p>
        </w:tc>
      </w:tr>
      <w:tr w:rsidR="009C6BB2" w:rsidRPr="00F67102" w:rsidTr="00EC2F2D">
        <w:tc>
          <w:tcPr>
            <w:tcW w:w="2802" w:type="dxa"/>
            <w:gridSpan w:val="2"/>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Evde Asetilsalisilik Asit</w:t>
            </w:r>
          </w:p>
        </w:tc>
        <w:tc>
          <w:tcPr>
            <w:tcW w:w="2268" w:type="dxa"/>
            <w:gridSpan w:val="2"/>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54.5 (24)</w:t>
            </w:r>
          </w:p>
        </w:tc>
        <w:tc>
          <w:tcPr>
            <w:tcW w:w="2644"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47.3 (131)</w:t>
            </w:r>
          </w:p>
        </w:tc>
        <w:tc>
          <w:tcPr>
            <w:tcW w:w="1289"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0.418</w:t>
            </w:r>
          </w:p>
        </w:tc>
      </w:tr>
      <w:tr w:rsidR="009C6BB2" w:rsidRPr="00F67102" w:rsidTr="00EC2F2D">
        <w:tc>
          <w:tcPr>
            <w:tcW w:w="2802" w:type="dxa"/>
            <w:gridSpan w:val="2"/>
            <w:tcBorders>
              <w:top w:val="nil"/>
              <w:left w:val="nil"/>
              <w:bottom w:val="nil"/>
              <w:right w:val="nil"/>
            </w:tcBorders>
          </w:tcPr>
          <w:p w:rsidR="009C6BB2" w:rsidRPr="00F67102" w:rsidRDefault="009C6BB2" w:rsidP="00EC2F2D">
            <w:pPr>
              <w:jc w:val="left"/>
              <w:rPr>
                <w:color w:val="000000" w:themeColor="text1"/>
                <w:szCs w:val="24"/>
              </w:rPr>
            </w:pPr>
            <w:r w:rsidRPr="00F67102">
              <w:rPr>
                <w:color w:val="000000" w:themeColor="text1"/>
                <w:szCs w:val="24"/>
              </w:rPr>
              <w:t>Hastanede Asetilsalisilik Asit</w:t>
            </w:r>
          </w:p>
        </w:tc>
        <w:tc>
          <w:tcPr>
            <w:tcW w:w="2268" w:type="dxa"/>
            <w:gridSpan w:val="2"/>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97.7 (43)</w:t>
            </w:r>
          </w:p>
        </w:tc>
        <w:tc>
          <w:tcPr>
            <w:tcW w:w="2644"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99.6 (276)</w:t>
            </w:r>
          </w:p>
        </w:tc>
        <w:tc>
          <w:tcPr>
            <w:tcW w:w="1289"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0.256</w:t>
            </w:r>
          </w:p>
        </w:tc>
      </w:tr>
      <w:tr w:rsidR="009C6BB2" w:rsidRPr="00F67102" w:rsidTr="00EC2F2D">
        <w:tc>
          <w:tcPr>
            <w:tcW w:w="2802" w:type="dxa"/>
            <w:gridSpan w:val="2"/>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Evde Klopidogrel</w:t>
            </w:r>
          </w:p>
        </w:tc>
        <w:tc>
          <w:tcPr>
            <w:tcW w:w="2268" w:type="dxa"/>
            <w:gridSpan w:val="2"/>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18.2 (8)</w:t>
            </w:r>
          </w:p>
        </w:tc>
        <w:tc>
          <w:tcPr>
            <w:tcW w:w="2644"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14.4 (40)</w:t>
            </w:r>
          </w:p>
        </w:tc>
        <w:tc>
          <w:tcPr>
            <w:tcW w:w="1289"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0.499</w:t>
            </w:r>
          </w:p>
        </w:tc>
      </w:tr>
      <w:tr w:rsidR="009C6BB2" w:rsidRPr="00F67102" w:rsidTr="00EC2F2D">
        <w:tc>
          <w:tcPr>
            <w:tcW w:w="2802" w:type="dxa"/>
            <w:gridSpan w:val="2"/>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Hastanede Klopidogrel</w:t>
            </w:r>
          </w:p>
        </w:tc>
        <w:tc>
          <w:tcPr>
            <w:tcW w:w="2268" w:type="dxa"/>
            <w:gridSpan w:val="2"/>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70.5 (31)</w:t>
            </w:r>
          </w:p>
        </w:tc>
        <w:tc>
          <w:tcPr>
            <w:tcW w:w="2644"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71.5 (195)</w:t>
            </w:r>
          </w:p>
        </w:tc>
        <w:tc>
          <w:tcPr>
            <w:tcW w:w="1289"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0.860</w:t>
            </w:r>
          </w:p>
        </w:tc>
      </w:tr>
      <w:tr w:rsidR="009C6BB2" w:rsidRPr="00F67102" w:rsidTr="00EC2F2D">
        <w:tc>
          <w:tcPr>
            <w:tcW w:w="2802" w:type="dxa"/>
            <w:gridSpan w:val="2"/>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PAB(mmHg)</w:t>
            </w:r>
            <w:r w:rsidRPr="00F67102">
              <w:rPr>
                <w:color w:val="000000" w:themeColor="text1"/>
                <w:szCs w:val="24"/>
                <w:vertAlign w:val="superscript"/>
              </w:rPr>
              <w:t xml:space="preserve"> β</w:t>
            </w:r>
          </w:p>
        </w:tc>
        <w:tc>
          <w:tcPr>
            <w:tcW w:w="2268" w:type="dxa"/>
            <w:gridSpan w:val="2"/>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25 (15-60)</w:t>
            </w:r>
          </w:p>
        </w:tc>
        <w:tc>
          <w:tcPr>
            <w:tcW w:w="2644"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25 (15-80)</w:t>
            </w:r>
          </w:p>
        </w:tc>
        <w:tc>
          <w:tcPr>
            <w:tcW w:w="1289"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0.081</w:t>
            </w:r>
          </w:p>
        </w:tc>
      </w:tr>
      <w:tr w:rsidR="009C6BB2" w:rsidRPr="00F67102" w:rsidTr="00EC2F2D">
        <w:tc>
          <w:tcPr>
            <w:tcW w:w="2802" w:type="dxa"/>
            <w:gridSpan w:val="2"/>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EF(%)</w:t>
            </w:r>
            <w:r w:rsidRPr="00F67102">
              <w:rPr>
                <w:color w:val="000000" w:themeColor="text1"/>
                <w:szCs w:val="24"/>
                <w:vertAlign w:val="superscript"/>
              </w:rPr>
              <w:t>β</w:t>
            </w:r>
          </w:p>
        </w:tc>
        <w:tc>
          <w:tcPr>
            <w:tcW w:w="2268" w:type="dxa"/>
            <w:gridSpan w:val="2"/>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46.5 (22-63)</w:t>
            </w:r>
          </w:p>
        </w:tc>
        <w:tc>
          <w:tcPr>
            <w:tcW w:w="2644"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50 (10-70)</w:t>
            </w:r>
          </w:p>
        </w:tc>
        <w:tc>
          <w:tcPr>
            <w:tcW w:w="1289"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0.108</w:t>
            </w:r>
          </w:p>
        </w:tc>
      </w:tr>
      <w:tr w:rsidR="009C6BB2" w:rsidRPr="00F67102" w:rsidTr="00EC2F2D">
        <w:tc>
          <w:tcPr>
            <w:tcW w:w="2802" w:type="dxa"/>
            <w:gridSpan w:val="2"/>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Total kolesterol(mg/dL)</w:t>
            </w:r>
            <w:r w:rsidRPr="00F67102">
              <w:rPr>
                <w:color w:val="000000" w:themeColor="text1"/>
                <w:szCs w:val="24"/>
                <w:vertAlign w:val="superscript"/>
              </w:rPr>
              <w:t xml:space="preserve"> β</w:t>
            </w:r>
          </w:p>
        </w:tc>
        <w:tc>
          <w:tcPr>
            <w:tcW w:w="2268" w:type="dxa"/>
            <w:gridSpan w:val="2"/>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196.5 (110-319)</w:t>
            </w:r>
          </w:p>
        </w:tc>
        <w:tc>
          <w:tcPr>
            <w:tcW w:w="2644"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174 (49-337)</w:t>
            </w:r>
          </w:p>
        </w:tc>
        <w:tc>
          <w:tcPr>
            <w:tcW w:w="1289" w:type="dxa"/>
            <w:tcBorders>
              <w:top w:val="nil"/>
              <w:left w:val="nil"/>
              <w:bottom w:val="nil"/>
              <w:right w:val="nil"/>
            </w:tcBorders>
          </w:tcPr>
          <w:p w:rsidR="009C6BB2" w:rsidRPr="00F67102" w:rsidRDefault="009C6BB2" w:rsidP="009C6BB2">
            <w:pPr>
              <w:rPr>
                <w:b/>
                <w:color w:val="000000" w:themeColor="text1"/>
                <w:szCs w:val="24"/>
              </w:rPr>
            </w:pPr>
            <w:r w:rsidRPr="00F67102">
              <w:rPr>
                <w:b/>
                <w:color w:val="000000" w:themeColor="text1"/>
                <w:szCs w:val="24"/>
              </w:rPr>
              <w:t>0.039*</w:t>
            </w:r>
          </w:p>
        </w:tc>
      </w:tr>
      <w:tr w:rsidR="009C6BB2" w:rsidRPr="00F67102" w:rsidTr="00EC2F2D">
        <w:tc>
          <w:tcPr>
            <w:tcW w:w="2802" w:type="dxa"/>
            <w:gridSpan w:val="2"/>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xml:space="preserve">LDL(mg/dL) </w:t>
            </w:r>
            <w:r w:rsidRPr="00F67102">
              <w:rPr>
                <w:color w:val="000000" w:themeColor="text1"/>
                <w:szCs w:val="24"/>
                <w:vertAlign w:val="superscript"/>
              </w:rPr>
              <w:t>β</w:t>
            </w:r>
          </w:p>
        </w:tc>
        <w:tc>
          <w:tcPr>
            <w:tcW w:w="2268" w:type="dxa"/>
            <w:gridSpan w:val="2"/>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127.5 (58-253)</w:t>
            </w:r>
          </w:p>
        </w:tc>
        <w:tc>
          <w:tcPr>
            <w:tcW w:w="2644"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106 (24-263)</w:t>
            </w:r>
          </w:p>
        </w:tc>
        <w:tc>
          <w:tcPr>
            <w:tcW w:w="1289" w:type="dxa"/>
            <w:tcBorders>
              <w:top w:val="nil"/>
              <w:left w:val="nil"/>
              <w:bottom w:val="nil"/>
              <w:right w:val="nil"/>
            </w:tcBorders>
          </w:tcPr>
          <w:p w:rsidR="009C6BB2" w:rsidRPr="00F67102" w:rsidRDefault="009C6BB2" w:rsidP="009C6BB2">
            <w:pPr>
              <w:rPr>
                <w:b/>
                <w:color w:val="000000" w:themeColor="text1"/>
                <w:szCs w:val="24"/>
              </w:rPr>
            </w:pPr>
            <w:r w:rsidRPr="00F67102">
              <w:rPr>
                <w:b/>
                <w:color w:val="000000" w:themeColor="text1"/>
                <w:szCs w:val="24"/>
              </w:rPr>
              <w:t>0.002*</w:t>
            </w:r>
          </w:p>
        </w:tc>
      </w:tr>
      <w:tr w:rsidR="009C6BB2" w:rsidRPr="00F67102" w:rsidTr="00EC2F2D">
        <w:tc>
          <w:tcPr>
            <w:tcW w:w="2802" w:type="dxa"/>
            <w:gridSpan w:val="2"/>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xml:space="preserve">HDL(mg/dL) </w:t>
            </w:r>
            <w:r w:rsidRPr="00F67102">
              <w:rPr>
                <w:color w:val="000000" w:themeColor="text1"/>
                <w:szCs w:val="24"/>
                <w:vertAlign w:val="superscript"/>
              </w:rPr>
              <w:t>β</w:t>
            </w:r>
          </w:p>
        </w:tc>
        <w:tc>
          <w:tcPr>
            <w:tcW w:w="2268" w:type="dxa"/>
            <w:gridSpan w:val="2"/>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34.5 (24-66)</w:t>
            </w:r>
          </w:p>
        </w:tc>
        <w:tc>
          <w:tcPr>
            <w:tcW w:w="2644"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36 (12-84)</w:t>
            </w:r>
          </w:p>
        </w:tc>
        <w:tc>
          <w:tcPr>
            <w:tcW w:w="1289"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0.918</w:t>
            </w:r>
          </w:p>
        </w:tc>
      </w:tr>
      <w:tr w:rsidR="009C6BB2" w:rsidRPr="00F67102" w:rsidTr="00EC2F2D">
        <w:tc>
          <w:tcPr>
            <w:tcW w:w="2802" w:type="dxa"/>
            <w:gridSpan w:val="2"/>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xml:space="preserve">TSH(uIU/mL) </w:t>
            </w:r>
            <w:r w:rsidRPr="00F67102">
              <w:rPr>
                <w:color w:val="000000" w:themeColor="text1"/>
                <w:szCs w:val="24"/>
                <w:vertAlign w:val="superscript"/>
              </w:rPr>
              <w:t>β</w:t>
            </w:r>
          </w:p>
        </w:tc>
        <w:tc>
          <w:tcPr>
            <w:tcW w:w="2268" w:type="dxa"/>
            <w:gridSpan w:val="2"/>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1.64 (0-7.47)</w:t>
            </w:r>
          </w:p>
        </w:tc>
        <w:tc>
          <w:tcPr>
            <w:tcW w:w="2644"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1.12 (0-19)</w:t>
            </w:r>
          </w:p>
        </w:tc>
        <w:tc>
          <w:tcPr>
            <w:tcW w:w="1289" w:type="dxa"/>
            <w:tcBorders>
              <w:top w:val="nil"/>
              <w:left w:val="nil"/>
              <w:bottom w:val="nil"/>
              <w:right w:val="nil"/>
            </w:tcBorders>
          </w:tcPr>
          <w:p w:rsidR="009C6BB2" w:rsidRPr="00F67102" w:rsidRDefault="009C6BB2" w:rsidP="009C6BB2">
            <w:pPr>
              <w:rPr>
                <w:b/>
                <w:color w:val="000000" w:themeColor="text1"/>
                <w:szCs w:val="24"/>
              </w:rPr>
            </w:pPr>
            <w:r w:rsidRPr="00F67102">
              <w:rPr>
                <w:b/>
                <w:color w:val="000000" w:themeColor="text1"/>
                <w:szCs w:val="24"/>
              </w:rPr>
              <w:t>0.041*</w:t>
            </w:r>
          </w:p>
        </w:tc>
      </w:tr>
      <w:tr w:rsidR="009C6BB2" w:rsidRPr="00F67102" w:rsidTr="00EC2F2D">
        <w:tc>
          <w:tcPr>
            <w:tcW w:w="2802" w:type="dxa"/>
            <w:gridSpan w:val="2"/>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xml:space="preserve">Hemoglobin(g/dL) </w:t>
            </w:r>
            <w:r w:rsidRPr="00F67102">
              <w:rPr>
                <w:color w:val="000000" w:themeColor="text1"/>
                <w:szCs w:val="24"/>
                <w:vertAlign w:val="superscript"/>
              </w:rPr>
              <w:t>α</w:t>
            </w:r>
          </w:p>
        </w:tc>
        <w:tc>
          <w:tcPr>
            <w:tcW w:w="2268" w:type="dxa"/>
            <w:gridSpan w:val="2"/>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13</w:t>
            </w:r>
          </w:p>
        </w:tc>
        <w:tc>
          <w:tcPr>
            <w:tcW w:w="2644"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13.6</w:t>
            </w:r>
          </w:p>
        </w:tc>
        <w:tc>
          <w:tcPr>
            <w:tcW w:w="1289"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0.099</w:t>
            </w:r>
          </w:p>
        </w:tc>
      </w:tr>
      <w:tr w:rsidR="009C6BB2" w:rsidRPr="00F67102" w:rsidTr="00EC2F2D">
        <w:tc>
          <w:tcPr>
            <w:tcW w:w="2802" w:type="dxa"/>
            <w:gridSpan w:val="2"/>
            <w:tcBorders>
              <w:top w:val="nil"/>
              <w:left w:val="nil"/>
              <w:bottom w:val="nil"/>
              <w:right w:val="nil"/>
            </w:tcBorders>
          </w:tcPr>
          <w:p w:rsidR="009C6BB2" w:rsidRPr="00F67102" w:rsidRDefault="009C6BB2" w:rsidP="00EC2F2D">
            <w:pPr>
              <w:jc w:val="left"/>
              <w:rPr>
                <w:color w:val="000000" w:themeColor="text1"/>
                <w:szCs w:val="24"/>
              </w:rPr>
            </w:pPr>
            <w:r w:rsidRPr="00F67102">
              <w:rPr>
                <w:color w:val="000000" w:themeColor="text1"/>
                <w:szCs w:val="24"/>
              </w:rPr>
              <w:t xml:space="preserve">Hastanede yatış süresi(gün) </w:t>
            </w:r>
            <w:r w:rsidRPr="00F67102">
              <w:rPr>
                <w:color w:val="000000" w:themeColor="text1"/>
                <w:szCs w:val="24"/>
                <w:vertAlign w:val="superscript"/>
              </w:rPr>
              <w:t>β</w:t>
            </w:r>
          </w:p>
        </w:tc>
        <w:tc>
          <w:tcPr>
            <w:tcW w:w="2268" w:type="dxa"/>
            <w:gridSpan w:val="2"/>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5 (3-10)</w:t>
            </w:r>
          </w:p>
        </w:tc>
        <w:tc>
          <w:tcPr>
            <w:tcW w:w="2644"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4(3-25)</w:t>
            </w:r>
          </w:p>
        </w:tc>
        <w:tc>
          <w:tcPr>
            <w:tcW w:w="1289" w:type="dxa"/>
            <w:tcBorders>
              <w:top w:val="nil"/>
              <w:left w:val="nil"/>
              <w:bottom w:val="nil"/>
              <w:right w:val="nil"/>
            </w:tcBorders>
          </w:tcPr>
          <w:p w:rsidR="009C6BB2" w:rsidRPr="00F67102" w:rsidRDefault="009C6BB2" w:rsidP="009C6BB2">
            <w:pPr>
              <w:rPr>
                <w:b/>
                <w:color w:val="000000" w:themeColor="text1"/>
                <w:szCs w:val="24"/>
              </w:rPr>
            </w:pPr>
            <w:r w:rsidRPr="00F67102">
              <w:rPr>
                <w:b/>
                <w:color w:val="000000" w:themeColor="text1"/>
                <w:szCs w:val="24"/>
              </w:rPr>
              <w:t>0.001*</w:t>
            </w:r>
          </w:p>
        </w:tc>
      </w:tr>
      <w:tr w:rsidR="009C6BB2" w:rsidRPr="00F67102" w:rsidTr="00EC2F2D">
        <w:tc>
          <w:tcPr>
            <w:tcW w:w="2802" w:type="dxa"/>
            <w:gridSpan w:val="2"/>
            <w:tcBorders>
              <w:top w:val="nil"/>
              <w:left w:val="nil"/>
              <w:right w:val="nil"/>
            </w:tcBorders>
          </w:tcPr>
          <w:p w:rsidR="009C6BB2" w:rsidRPr="00F67102" w:rsidRDefault="009C6BB2" w:rsidP="009C6BB2">
            <w:pPr>
              <w:rPr>
                <w:color w:val="000000" w:themeColor="text1"/>
                <w:szCs w:val="24"/>
              </w:rPr>
            </w:pPr>
            <w:r w:rsidRPr="00F67102">
              <w:rPr>
                <w:color w:val="000000" w:themeColor="text1"/>
                <w:szCs w:val="24"/>
              </w:rPr>
              <w:t>Hastanede mortalite</w:t>
            </w:r>
          </w:p>
        </w:tc>
        <w:tc>
          <w:tcPr>
            <w:tcW w:w="2268" w:type="dxa"/>
            <w:gridSpan w:val="2"/>
            <w:tcBorders>
              <w:top w:val="nil"/>
              <w:left w:val="nil"/>
              <w:right w:val="nil"/>
            </w:tcBorders>
          </w:tcPr>
          <w:p w:rsidR="009C6BB2" w:rsidRPr="00F67102" w:rsidRDefault="009C6BB2" w:rsidP="009C6BB2">
            <w:pPr>
              <w:rPr>
                <w:color w:val="000000" w:themeColor="text1"/>
                <w:szCs w:val="24"/>
              </w:rPr>
            </w:pPr>
            <w:r w:rsidRPr="00F67102">
              <w:rPr>
                <w:color w:val="000000" w:themeColor="text1"/>
                <w:szCs w:val="24"/>
              </w:rPr>
              <w:t>% 25 (11)</w:t>
            </w:r>
          </w:p>
        </w:tc>
        <w:tc>
          <w:tcPr>
            <w:tcW w:w="2644" w:type="dxa"/>
            <w:tcBorders>
              <w:top w:val="nil"/>
              <w:left w:val="nil"/>
              <w:right w:val="nil"/>
            </w:tcBorders>
          </w:tcPr>
          <w:p w:rsidR="009C6BB2" w:rsidRPr="00F67102" w:rsidRDefault="009C6BB2" w:rsidP="009C6BB2">
            <w:pPr>
              <w:rPr>
                <w:color w:val="000000" w:themeColor="text1"/>
                <w:szCs w:val="24"/>
              </w:rPr>
            </w:pPr>
            <w:r w:rsidRPr="00F67102">
              <w:rPr>
                <w:color w:val="000000" w:themeColor="text1"/>
                <w:szCs w:val="24"/>
              </w:rPr>
              <w:t>% 2.9 (8)</w:t>
            </w:r>
          </w:p>
        </w:tc>
        <w:tc>
          <w:tcPr>
            <w:tcW w:w="1289" w:type="dxa"/>
            <w:tcBorders>
              <w:top w:val="nil"/>
              <w:left w:val="nil"/>
              <w:right w:val="nil"/>
            </w:tcBorders>
          </w:tcPr>
          <w:p w:rsidR="009C6BB2" w:rsidRPr="00F67102" w:rsidRDefault="009C6BB2" w:rsidP="009C6BB2">
            <w:pPr>
              <w:rPr>
                <w:b/>
                <w:color w:val="000000" w:themeColor="text1"/>
                <w:szCs w:val="24"/>
              </w:rPr>
            </w:pPr>
            <w:r w:rsidRPr="00F67102">
              <w:rPr>
                <w:b/>
                <w:color w:val="000000" w:themeColor="text1"/>
                <w:szCs w:val="24"/>
              </w:rPr>
              <w:t>&lt;0.001*</w:t>
            </w:r>
          </w:p>
        </w:tc>
      </w:tr>
    </w:tbl>
    <w:p w:rsidR="009C6BB2" w:rsidRPr="00F67102" w:rsidRDefault="009C6BB2" w:rsidP="009C6BB2">
      <w:pPr>
        <w:rPr>
          <w:color w:val="000000" w:themeColor="text1"/>
        </w:rPr>
      </w:pPr>
      <w:r w:rsidRPr="00F67102">
        <w:rPr>
          <w:color w:val="000000" w:themeColor="text1"/>
          <w:vertAlign w:val="superscript"/>
        </w:rPr>
        <w:t>α</w:t>
      </w:r>
      <w:r w:rsidRPr="00F67102">
        <w:rPr>
          <w:color w:val="000000" w:themeColor="text1"/>
        </w:rPr>
        <w:t xml:space="preserve"> </w:t>
      </w:r>
      <w:r w:rsidRPr="00EC2F2D">
        <w:rPr>
          <w:color w:val="000000" w:themeColor="text1"/>
          <w:sz w:val="20"/>
        </w:rPr>
        <w:t>=ortalama değeri belirtir,</w:t>
      </w:r>
      <w:r w:rsidRPr="00F67102">
        <w:rPr>
          <w:color w:val="000000" w:themeColor="text1"/>
        </w:rPr>
        <w:t xml:space="preserve"> </w:t>
      </w:r>
      <w:r w:rsidRPr="00F67102">
        <w:rPr>
          <w:color w:val="000000" w:themeColor="text1"/>
          <w:vertAlign w:val="superscript"/>
        </w:rPr>
        <w:t>β</w:t>
      </w:r>
      <w:r w:rsidRPr="00F67102">
        <w:rPr>
          <w:color w:val="000000" w:themeColor="text1"/>
        </w:rPr>
        <w:t xml:space="preserve"> </w:t>
      </w:r>
      <w:r w:rsidRPr="00EC2F2D">
        <w:rPr>
          <w:color w:val="000000" w:themeColor="text1"/>
          <w:sz w:val="20"/>
        </w:rPr>
        <w:t>=ortanca değeri belirtir,</w:t>
      </w:r>
      <w:r w:rsidRPr="00F67102">
        <w:rPr>
          <w:color w:val="000000" w:themeColor="text1"/>
        </w:rPr>
        <w:t xml:space="preserve"> *</w:t>
      </w:r>
      <w:r w:rsidRPr="00EC2F2D">
        <w:rPr>
          <w:color w:val="000000" w:themeColor="text1"/>
          <w:sz w:val="20"/>
        </w:rPr>
        <w:t>=anlamlı olanları belirtir</w:t>
      </w:r>
    </w:p>
    <w:p w:rsidR="00EC2F2D" w:rsidRDefault="00EC2F2D">
      <w:pPr>
        <w:jc w:val="left"/>
        <w:rPr>
          <w:color w:val="000000" w:themeColor="text1"/>
        </w:rPr>
      </w:pPr>
      <w:r>
        <w:rPr>
          <w:color w:val="000000" w:themeColor="text1"/>
        </w:rPr>
        <w:br w:type="page"/>
      </w:r>
    </w:p>
    <w:p w:rsidR="009C6BB2" w:rsidRPr="00F67102" w:rsidRDefault="009C6BB2" w:rsidP="009C6BB2">
      <w:pPr>
        <w:rPr>
          <w:color w:val="000000" w:themeColor="text1"/>
        </w:rPr>
      </w:pPr>
      <w:r>
        <w:rPr>
          <w:color w:val="000000" w:themeColor="text1"/>
        </w:rPr>
        <w:lastRenderedPageBreak/>
        <w:tab/>
      </w:r>
      <w:r w:rsidRPr="00F67102">
        <w:rPr>
          <w:color w:val="000000" w:themeColor="text1"/>
        </w:rPr>
        <w:t>Kontrast öncesi ABH olanların %63.6 (28)'sı erkek ve %36.4 (16)'ü kadındır. Kontrast öncesi ABH grubunda kontrast öncesi ABH olmayan gruba kıyasla kadınların oranı daha fazla olmasına rağmen cinsiyet anlamlı bir risk faktörü olarak saptanmamıştır (p=0.287). Toplam 321 hastanın yaş ortalaması 63.3, kontrast öncesi ABH olan 44 hastanın yaş ortalaması 69.59 olup kontrast öncesi ABH olanların yaş ortalaması olmayanlara göre anlamlı olarak yüksektir (p &lt;0.001). Sigara içme oranı kontrast öncesi ABH olanlarda %20.5 (9) olup kontrast öncesi ABH olmayan gruba kıyasla düşüktür, istatistiksel olarak anlamlı farklılık saptanmamıştır (p=0.083). Kontrast öncesi ABH'de diyabetiklerin oranı %43.2 (19) olup kontrast öncesi ABH olmayan gruba göre yüksektir ancak anlamlı farklılık saptanmamıştır (p=0.510). Kontrast öncesi ABH olanlarda hipertansif hasta oranı %86.4 (38) olup kontrast öncesi ABH olmayan gruba göre anlamlı olarak yüksektir (p=0.029). KBH oranı kontrast öncesi ABH'da %29.5 (13) olup kontrast öncesi ABH olmayan gruba kıyasla yüksektir ancak istatistiksel olarak anlamlı bulunmamıştır (p=0.100). Hiperlipidemi oranı kontrast öncesi ABH'da %50.0 (22) olup kontrast öncesi ABH olmayan gruba kıyasla yüksektir ancak istatistiksel olarak anlamlı bulunmamıştır (p=0.326). Tekrarlayan akut koroner sendrom oranı kontrast öncesi ABH'da %43.2 (19) olup kontrast öncesi ABH olmayan gruba kıyasla yüksektir ancak istatistiksel olarak anlamlı bulunmamıştır (p=0.744). Daha önce koroner by-pass olanların oranı kontrast öncesi ABH'da %25 (11) olup kontrast öncesi ABH olmayan gruba kıyasla yüksektir ancak istatistiksel olarak anlamlı bulunmamıştır (p=0.560). Geçirilmiş SVO oranı  kontrast öncesi ABH'da %4.5</w:t>
      </w:r>
      <w:r w:rsidR="003C59C9">
        <w:rPr>
          <w:color w:val="000000" w:themeColor="text1"/>
        </w:rPr>
        <w:t xml:space="preserve"> </w:t>
      </w:r>
      <w:r w:rsidRPr="00F67102">
        <w:rPr>
          <w:color w:val="000000" w:themeColor="text1"/>
        </w:rPr>
        <w:t>(2) olup kontrast öncesi ABH olmayan gruptan hafif düşüktür, istatistiksel olarak anlamlı bulunmamıştır (p=1.000). Kontrast öncesi ABH'de anemisi olanların oranı %29.5 (13) olup kontrast öncesi ABH olmayan gruba kıyasla yüksektir ancak istatistiksel olarak anlamlı değildir (p=0.250). Hipotansif hasta oranı kontrast öncesi ABH'de %11.4</w:t>
      </w:r>
      <w:r w:rsidR="003C59C9">
        <w:rPr>
          <w:color w:val="000000" w:themeColor="text1"/>
        </w:rPr>
        <w:t xml:space="preserve"> </w:t>
      </w:r>
      <w:r w:rsidRPr="00F67102">
        <w:rPr>
          <w:color w:val="000000" w:themeColor="text1"/>
        </w:rPr>
        <w:t>(5) olup kontrast öncesi ABH olmayan gruba kıyasla yüksektir ancak istatistiksel olarak anlamlı farklılık saptanmamıştır (p=0.067). AV blok gelişen hastaların oranı kontrast öncesi ABH'de %15.9</w:t>
      </w:r>
      <w:r w:rsidR="003C59C9">
        <w:rPr>
          <w:color w:val="000000" w:themeColor="text1"/>
        </w:rPr>
        <w:t xml:space="preserve"> </w:t>
      </w:r>
      <w:r w:rsidRPr="00F67102">
        <w:rPr>
          <w:color w:val="000000" w:themeColor="text1"/>
        </w:rPr>
        <w:t>(7) olup kontrast öncesi ABH olmayan gruba kıyasla istatistiksel anlamlı olarak yüksektir (p=0.004). Kardiyojenik şok gelişen hasta oranı kontrast öncesi ABH'de %13.6</w:t>
      </w:r>
      <w:r w:rsidR="003C59C9">
        <w:rPr>
          <w:color w:val="000000" w:themeColor="text1"/>
        </w:rPr>
        <w:t xml:space="preserve"> </w:t>
      </w:r>
      <w:r w:rsidRPr="00F67102">
        <w:rPr>
          <w:color w:val="000000" w:themeColor="text1"/>
        </w:rPr>
        <w:t>(6) olup, kontrast öncesi ABH olmayan gruba kıyasla istatistiksel anlamlı olarak yüksektir (p=0.001)</w:t>
      </w:r>
      <w:r w:rsidR="003C59C9">
        <w:rPr>
          <w:color w:val="000000" w:themeColor="text1"/>
        </w:rPr>
        <w:t>.</w:t>
      </w:r>
      <w:r w:rsidRPr="00F67102">
        <w:rPr>
          <w:color w:val="000000" w:themeColor="text1"/>
        </w:rPr>
        <w:t xml:space="preserve"> Ventriküler taşikardi ve ventriküler fibrilasyon gelişen hastaların oranı kontrast öncesi ABH'de sırayla %4.5(2) ve %6.8(3) olup kontrast öncesi ABH olmayan gruba kıyasla yüksektir ancak istatistiksel olarak anlamlı bulunmamıştır (sırayla p=0.140, p=0.218). Daha önce kronik AF öyküsü olan hastaların oranı kontrast öncesi ABH'de %4.5</w:t>
      </w:r>
      <w:r w:rsidR="003C59C9">
        <w:rPr>
          <w:color w:val="000000" w:themeColor="text1"/>
        </w:rPr>
        <w:t xml:space="preserve"> </w:t>
      </w:r>
      <w:r w:rsidRPr="00F67102">
        <w:rPr>
          <w:color w:val="000000" w:themeColor="text1"/>
        </w:rPr>
        <w:t xml:space="preserve">(2) olup kontrast öncesi ABH olmayan </w:t>
      </w:r>
      <w:r w:rsidRPr="00F67102">
        <w:rPr>
          <w:color w:val="000000" w:themeColor="text1"/>
        </w:rPr>
        <w:lastRenderedPageBreak/>
        <w:t>gruba kıyasla hafif yüksektir, istatistiksel olarak anlamlı değildir (p=0.652). Hastanedeyken AF gelişen hastaların oranı kontrast öncesi ABH'de %25</w:t>
      </w:r>
      <w:r w:rsidR="003C59C9">
        <w:rPr>
          <w:color w:val="000000" w:themeColor="text1"/>
        </w:rPr>
        <w:t xml:space="preserve"> </w:t>
      </w:r>
      <w:r w:rsidRPr="00F67102">
        <w:rPr>
          <w:color w:val="000000" w:themeColor="text1"/>
        </w:rPr>
        <w:t>(11) olup kontrast öncesi ABH olmayan gruba kıyasla istatistiksel anlamlı olarak yüksektir (p&lt;0.001). Hastanede eritrosit süspansiyonu desteği verilen hastaların oranı kontrast öncesi ABH'de %4.5</w:t>
      </w:r>
      <w:r w:rsidR="003C59C9">
        <w:rPr>
          <w:color w:val="000000" w:themeColor="text1"/>
        </w:rPr>
        <w:t xml:space="preserve"> </w:t>
      </w:r>
      <w:r w:rsidRPr="00F67102">
        <w:rPr>
          <w:color w:val="000000" w:themeColor="text1"/>
        </w:rPr>
        <w:t>(2) olup kontrast öncesi ABH olmayan gruba kıyasla yüksektir, ancak istatistiksel olarak anlamlı bulunmamıştır (p=0.192). Major kanamalı hasta oranı kontrast öncesi ABH'de %2.3</w:t>
      </w:r>
      <w:r w:rsidR="003C59C9">
        <w:rPr>
          <w:color w:val="000000" w:themeColor="text1"/>
        </w:rPr>
        <w:t xml:space="preserve"> </w:t>
      </w:r>
      <w:r w:rsidRPr="00F67102">
        <w:rPr>
          <w:color w:val="000000" w:themeColor="text1"/>
        </w:rPr>
        <w:t>(1) olup kontrast öncesi ABH olmayan gruba göre hafif yüksektir, istatistiksel olarak anlamlı bulunmamıştır(p=0.256). Hastanede SVO geçiren hastaların oranı kontrast öncesi ABH'de %2.3</w:t>
      </w:r>
      <w:r w:rsidR="003C59C9">
        <w:rPr>
          <w:color w:val="000000" w:themeColor="text1"/>
        </w:rPr>
        <w:t xml:space="preserve"> </w:t>
      </w:r>
      <w:r w:rsidRPr="00F67102">
        <w:rPr>
          <w:color w:val="000000" w:themeColor="text1"/>
        </w:rPr>
        <w:t>(1) olup kontrast öncesi ABH olmayan gruba kıyasla hafif yüksektir, istatistiksel olarak anlamlı bulunmamıştır (p=0.256). Hospitalizasyon sırasında ACEi-ARB kullanım öyküsü olan hastaların oranı kontrast öncesi ABH'de %34.1</w:t>
      </w:r>
      <w:r w:rsidR="003C59C9">
        <w:rPr>
          <w:color w:val="000000" w:themeColor="text1"/>
        </w:rPr>
        <w:t xml:space="preserve"> </w:t>
      </w:r>
      <w:r w:rsidRPr="00F67102">
        <w:rPr>
          <w:color w:val="000000" w:themeColor="text1"/>
        </w:rPr>
        <w:t>(15) olup kontrast öncesi ABH olmayan gruba kıyasla hafif yüksektir ancak istatistiksel anlamlı değildir (p=1.000). Hastanede ACEi-ARB kullananların oranı  %40.9</w:t>
      </w:r>
      <w:r w:rsidR="003C59C9">
        <w:rPr>
          <w:color w:val="000000" w:themeColor="text1"/>
        </w:rPr>
        <w:t xml:space="preserve"> </w:t>
      </w:r>
      <w:r w:rsidRPr="00F67102">
        <w:rPr>
          <w:color w:val="000000" w:themeColor="text1"/>
        </w:rPr>
        <w:t>(18) olup kontrast öncesi ABH olmayan gruba kıyasla istatistiksel anlamlı olarak düşüktür (p=0.005). Hospitalizasyon sırasında spironalakton kullanım öyküsü olan hastaların oranı kontrast öncesi ABH'de %6.8</w:t>
      </w:r>
      <w:r w:rsidR="003C59C9">
        <w:rPr>
          <w:color w:val="000000" w:themeColor="text1"/>
        </w:rPr>
        <w:t xml:space="preserve"> </w:t>
      </w:r>
      <w:r w:rsidRPr="00F67102">
        <w:rPr>
          <w:color w:val="000000" w:themeColor="text1"/>
        </w:rPr>
        <w:t>(3) olup kontrast öncesi ABH olmayan gruba kıyasla yüksektir, istatistiksel olarak anlamlı bulunmamıştır (p=0.112). Hastanedeyken spironalakton kullanan hastaların  oranı kontrast öncesi ABH'de %6.8</w:t>
      </w:r>
      <w:r w:rsidR="003C59C9">
        <w:rPr>
          <w:color w:val="000000" w:themeColor="text1"/>
        </w:rPr>
        <w:t xml:space="preserve"> </w:t>
      </w:r>
      <w:r w:rsidRPr="00F67102">
        <w:rPr>
          <w:color w:val="000000" w:themeColor="text1"/>
        </w:rPr>
        <w:t>(3) olup kontrast öncesi ABH olmayan gruba kıyasla yüksektir ancak istatistiksel olarak anlamlı değildir (p=0.399). Hospitalizasyon sırasında furosemid kullanım öyküsü olan hastaların oranı kontrast öncesi ABH'de %25</w:t>
      </w:r>
      <w:r w:rsidR="003C59C9">
        <w:rPr>
          <w:color w:val="000000" w:themeColor="text1"/>
        </w:rPr>
        <w:t xml:space="preserve"> </w:t>
      </w:r>
      <w:r w:rsidRPr="00F67102">
        <w:rPr>
          <w:color w:val="000000" w:themeColor="text1"/>
        </w:rPr>
        <w:t>(11) olup kontrast öncesi ABH olmayan gruba kıyasla yüksektir, istatistiksel olarak anlamlı bulunmuştur (p=0.001). Hastanedeyken furosemid kullanan hastaların oranı kontrast öncesi ABH'de %50</w:t>
      </w:r>
      <w:r w:rsidR="003C59C9">
        <w:rPr>
          <w:color w:val="000000" w:themeColor="text1"/>
        </w:rPr>
        <w:t xml:space="preserve"> </w:t>
      </w:r>
      <w:r w:rsidRPr="00F67102">
        <w:rPr>
          <w:color w:val="000000" w:themeColor="text1"/>
        </w:rPr>
        <w:t>(22) olup kontrast öncesi ABH olmayan gruba kıyasla yüksektir, istatistiksel olarak anlamlı bulunmuştur (p&lt;0.001). Hospitalizasyon sırasında statin kullanım öyküsü olan hastaların oranı kontrast öncesi ABH'de %25(11) olup kontrast öncesi ABH olmayan gruba kıyasla düşüktür, istatistiksel olarak anlamlı bulunmamıştır (p=0.856). Hastanedeyken statin kullanan hastaların oranı kontrast öncesi ABH'de %88.6(39) olup kontrast öncesi ABH olmayan gruba kıyasla düşüktür ancak istatistiksel olarak anlamlı değildir (p=0.349). Hospitalizasyon sırasında asetilsalisilik asit kullanım öyküsü olan hastaların oranı kontrast öncesi ABH'de %54.5</w:t>
      </w:r>
      <w:r w:rsidR="003C59C9">
        <w:rPr>
          <w:color w:val="000000" w:themeColor="text1"/>
        </w:rPr>
        <w:t xml:space="preserve"> </w:t>
      </w:r>
      <w:r w:rsidRPr="00F67102">
        <w:rPr>
          <w:color w:val="000000" w:themeColor="text1"/>
        </w:rPr>
        <w:t>(24) olup total hasta grubuna kıyasla yüksektir, istatistiksel olarak anlamlı bulunmamıştır (p=0.418). Hastanedeyken asetilsalisilik asit kullanan hastaların  oranı kontrast öncesi ABH'de %97.7</w:t>
      </w:r>
      <w:r w:rsidR="003C59C9">
        <w:rPr>
          <w:color w:val="000000" w:themeColor="text1"/>
        </w:rPr>
        <w:t xml:space="preserve"> </w:t>
      </w:r>
      <w:r w:rsidRPr="00F67102">
        <w:rPr>
          <w:color w:val="000000" w:themeColor="text1"/>
        </w:rPr>
        <w:t xml:space="preserve">(43) olup kontrast öncesi ABH olmayan gruba kıyasla hafif yüksektir ancak istatistiksel olarak anlamlı değildir (p=0.256).  Hospitalizasyon sırasında klopidogrel </w:t>
      </w:r>
      <w:r w:rsidRPr="00F67102">
        <w:rPr>
          <w:color w:val="000000" w:themeColor="text1"/>
        </w:rPr>
        <w:lastRenderedPageBreak/>
        <w:t>kullanım öyküsü olan hastaların oranı kontrast öncesi ABH'de %18.2</w:t>
      </w:r>
      <w:r w:rsidR="003C59C9">
        <w:rPr>
          <w:color w:val="000000" w:themeColor="text1"/>
        </w:rPr>
        <w:t xml:space="preserve"> </w:t>
      </w:r>
      <w:r w:rsidRPr="00F67102">
        <w:rPr>
          <w:color w:val="000000" w:themeColor="text1"/>
        </w:rPr>
        <w:t>(8) olup kontrast öncesi ABH olmayan gruba kıyasla yüksektir, istatistiksel olarak anlamlı bulunmamıştır (p=0.499). Hastanedeyken klopidogrel kullanan hastaların oranı kontrast öncesi ABH'de %70.5</w:t>
      </w:r>
      <w:r w:rsidR="003C59C9">
        <w:rPr>
          <w:color w:val="000000" w:themeColor="text1"/>
        </w:rPr>
        <w:t xml:space="preserve"> </w:t>
      </w:r>
      <w:r w:rsidRPr="00F67102">
        <w:rPr>
          <w:color w:val="000000" w:themeColor="text1"/>
        </w:rPr>
        <w:t>(31) olup kontrast öncesi ABH olmayan gruba kıyasla hafif düşüktür, istatistiksel olarak anlamlı değildir (p=0.860). Kontrast öncesi ABH olanlarla olmayanların PAB ortanca düzeyi 25 mmHg olup aynı saptanmıştır, anlamlı fark yoktur (p=0.081). Kontrast öncesi ABH olanların EF ortanca düzeyi 46.5</w:t>
      </w:r>
      <w:r w:rsidR="003C59C9">
        <w:rPr>
          <w:color w:val="000000" w:themeColor="text1"/>
        </w:rPr>
        <w:t xml:space="preserve"> </w:t>
      </w:r>
      <w:r w:rsidRPr="00F67102">
        <w:rPr>
          <w:color w:val="000000" w:themeColor="text1"/>
        </w:rPr>
        <w:t>(22-63) olup kontrast öncesi ABH olmayan grupla kıyaslandığında anlamlı farklılık gözlenmemiştir (p=0.108). Kontrast öncesi ABH olanlarda total kolesterol düzeyi ortanca değeri 196.5 (110-319) olup kontrast öncesi ABH olmayan gruba kıyasla anlamlı olarak yüksektir (p=0.039). Kontrast öncesi ABH olanlarda LDL düzeyi ortanca değeri 127.5 (58-253) olup kontrast öncesi ABH olmayanlarla karşılaştırıldığında anlamlı olarak yüksektir (p=0.002). Kontrast öncesi ABH olanların HDL ortanca düzeyi 34.5 (24-66) olup kontrast öncesi ABH olmayan grupla kıyaslandığında hafif düşüktür, istatistiksel olarak anlamlı farklılık gözlenmemiştir (p=0.918). Kontrast öncesi ABH olanlarda TSH düzeyi ortanca değeri 1.64 (0-7.47) uIU/mL olup kontrast öncesi ABH olmayanlara göre TSH düzeyleri anlamlı olarak daha yüksektir(p=0.041).Kontrast öncesi ABH olanlardaki ortalama hemoglobin düzeyi 13 g/dl olup kontrast öncesi ABH olmayan grupla kıyaslandığında hafif düşüktür, istatistiksel olarak anlamlı farklılık saptanmamıştır (p=0.099). Yatış süresine bakıldığında kontrast öncesi ABH olanlarda ortanca yatış süresi 5 gün (3-10) olup kontrast öncesi ABH olmayanlara kıyasla kontrast öncesi ABH olanlarda yatış süresi anlamlı olarak uzundur (p=0.001). Mortal seyreden hasta oranı kontrast öncesi ABH'de %25(11) olup kontrast öncesi ABH olmayan gruba kıyasla istatistiksel anlamlı olarak yüksektir (p&lt;0.001). Kontrast öncesi ABH gelişen hastalarda ek olarak sonrasında kontrast ilişkili ABH insidansı da yüksek olup %84.1(37)'dir, istatistiksel olarak anlamlıdır (p&lt;0.001).</w:t>
      </w:r>
    </w:p>
    <w:p w:rsidR="009C6BB2" w:rsidRPr="00F67102" w:rsidRDefault="009C6BB2" w:rsidP="009C6BB2">
      <w:pPr>
        <w:rPr>
          <w:color w:val="000000" w:themeColor="text1"/>
          <w:u w:val="single"/>
        </w:rPr>
      </w:pPr>
    </w:p>
    <w:p w:rsidR="00EC2F2D" w:rsidRDefault="00EC2F2D">
      <w:pPr>
        <w:jc w:val="left"/>
        <w:rPr>
          <w:b/>
          <w:color w:val="000000" w:themeColor="text1"/>
        </w:rPr>
      </w:pPr>
      <w:r>
        <w:rPr>
          <w:b/>
          <w:color w:val="000000" w:themeColor="text1"/>
        </w:rPr>
        <w:br w:type="page"/>
      </w:r>
    </w:p>
    <w:p w:rsidR="009C6BB2" w:rsidRPr="00F83379" w:rsidRDefault="00EC2F2D" w:rsidP="00EC2F2D">
      <w:pPr>
        <w:pStyle w:val="ResimYazs"/>
        <w:rPr>
          <w:b w:val="0"/>
          <w:color w:val="000000" w:themeColor="text1"/>
        </w:rPr>
      </w:pPr>
      <w:bookmarkStart w:id="45" w:name="_Toc459713114"/>
      <w:r>
        <w:lastRenderedPageBreak/>
        <w:t xml:space="preserve">Tablo </w:t>
      </w:r>
      <w:r w:rsidR="001715F4">
        <w:t>4</w:t>
      </w:r>
      <w:r w:rsidR="00382CFB">
        <w:t>.</w:t>
      </w:r>
      <w:r w:rsidR="00C57A06">
        <w:fldChar w:fldCharType="begin"/>
      </w:r>
      <w:r w:rsidR="00353523">
        <w:instrText xml:space="preserve"> SEQ Tablo \* ARABIC \s 1 </w:instrText>
      </w:r>
      <w:r w:rsidR="00C57A06">
        <w:fldChar w:fldCharType="separate"/>
      </w:r>
      <w:r w:rsidR="001C364D">
        <w:rPr>
          <w:noProof/>
        </w:rPr>
        <w:t>3</w:t>
      </w:r>
      <w:r w:rsidR="00C57A06">
        <w:rPr>
          <w:noProof/>
        </w:rPr>
        <w:fldChar w:fldCharType="end"/>
      </w:r>
      <w:r>
        <w:t xml:space="preserve">. </w:t>
      </w:r>
      <w:r w:rsidR="009C6BB2" w:rsidRPr="00EC2F2D">
        <w:rPr>
          <w:color w:val="000000" w:themeColor="text1"/>
        </w:rPr>
        <w:t xml:space="preserve">Total ABH </w:t>
      </w:r>
      <w:r>
        <w:rPr>
          <w:color w:val="000000" w:themeColor="text1"/>
        </w:rPr>
        <w:t>G</w:t>
      </w:r>
      <w:r w:rsidR="009C6BB2" w:rsidRPr="00EC2F2D">
        <w:rPr>
          <w:color w:val="000000" w:themeColor="text1"/>
        </w:rPr>
        <w:t xml:space="preserve">elişenler ve </w:t>
      </w:r>
      <w:r>
        <w:rPr>
          <w:color w:val="000000" w:themeColor="text1"/>
        </w:rPr>
        <w:t>G</w:t>
      </w:r>
      <w:r w:rsidR="009C6BB2" w:rsidRPr="00EC2F2D">
        <w:rPr>
          <w:color w:val="000000" w:themeColor="text1"/>
        </w:rPr>
        <w:t xml:space="preserve">elişmeyenlerin </w:t>
      </w:r>
      <w:r>
        <w:rPr>
          <w:color w:val="000000" w:themeColor="text1"/>
        </w:rPr>
        <w:t>K</w:t>
      </w:r>
      <w:r w:rsidR="009C6BB2" w:rsidRPr="00EC2F2D">
        <w:rPr>
          <w:color w:val="000000" w:themeColor="text1"/>
        </w:rPr>
        <w:t>arşılaştırılması</w:t>
      </w:r>
      <w:bookmarkEnd w:id="45"/>
    </w:p>
    <w:tbl>
      <w:tblPr>
        <w:tblStyle w:val="TabloKlavuzu"/>
        <w:tblW w:w="0" w:type="auto"/>
        <w:tblLook w:val="04A0"/>
      </w:tblPr>
      <w:tblGrid>
        <w:gridCol w:w="1330"/>
        <w:gridCol w:w="1472"/>
        <w:gridCol w:w="2165"/>
        <w:gridCol w:w="2747"/>
        <w:gridCol w:w="1289"/>
      </w:tblGrid>
      <w:tr w:rsidR="009C6BB2" w:rsidRPr="00F67102" w:rsidTr="00EC2F2D">
        <w:tc>
          <w:tcPr>
            <w:tcW w:w="2802" w:type="dxa"/>
            <w:gridSpan w:val="2"/>
            <w:tcBorders>
              <w:left w:val="nil"/>
              <w:bottom w:val="single" w:sz="4" w:space="0" w:color="000000"/>
              <w:right w:val="nil"/>
            </w:tcBorders>
          </w:tcPr>
          <w:p w:rsidR="009C6BB2" w:rsidRPr="00EC2F2D" w:rsidRDefault="009C6BB2" w:rsidP="00EC2F2D">
            <w:pPr>
              <w:jc w:val="center"/>
              <w:rPr>
                <w:b/>
                <w:color w:val="000000" w:themeColor="text1"/>
                <w:szCs w:val="24"/>
              </w:rPr>
            </w:pPr>
            <w:r w:rsidRPr="00EC2F2D">
              <w:rPr>
                <w:b/>
                <w:color w:val="000000" w:themeColor="text1"/>
                <w:szCs w:val="24"/>
              </w:rPr>
              <w:t>Parametreler(birim)</w:t>
            </w:r>
          </w:p>
        </w:tc>
        <w:tc>
          <w:tcPr>
            <w:tcW w:w="2165" w:type="dxa"/>
            <w:tcBorders>
              <w:left w:val="nil"/>
              <w:bottom w:val="single" w:sz="4" w:space="0" w:color="000000"/>
              <w:right w:val="nil"/>
            </w:tcBorders>
          </w:tcPr>
          <w:p w:rsidR="009C6BB2" w:rsidRPr="00EC2F2D" w:rsidRDefault="009C6BB2" w:rsidP="00EC2F2D">
            <w:pPr>
              <w:jc w:val="center"/>
              <w:rPr>
                <w:b/>
                <w:color w:val="000000" w:themeColor="text1"/>
                <w:szCs w:val="24"/>
              </w:rPr>
            </w:pPr>
            <w:r w:rsidRPr="00EC2F2D">
              <w:rPr>
                <w:b/>
                <w:color w:val="000000" w:themeColor="text1"/>
                <w:szCs w:val="24"/>
              </w:rPr>
              <w:t>Total ABH olanlar</w:t>
            </w:r>
          </w:p>
          <w:p w:rsidR="009C6BB2" w:rsidRPr="00EC2F2D" w:rsidRDefault="009C6BB2" w:rsidP="00EC2F2D">
            <w:pPr>
              <w:jc w:val="center"/>
              <w:rPr>
                <w:b/>
                <w:color w:val="000000" w:themeColor="text1"/>
                <w:szCs w:val="24"/>
              </w:rPr>
            </w:pPr>
            <w:r w:rsidRPr="00EC2F2D">
              <w:rPr>
                <w:b/>
                <w:color w:val="000000" w:themeColor="text1"/>
                <w:szCs w:val="24"/>
              </w:rPr>
              <w:t>% 17.4 (56)</w:t>
            </w:r>
          </w:p>
        </w:tc>
        <w:tc>
          <w:tcPr>
            <w:tcW w:w="2747" w:type="dxa"/>
            <w:tcBorders>
              <w:left w:val="nil"/>
              <w:bottom w:val="single" w:sz="4" w:space="0" w:color="000000"/>
              <w:right w:val="nil"/>
            </w:tcBorders>
          </w:tcPr>
          <w:p w:rsidR="009C6BB2" w:rsidRPr="00EC2F2D" w:rsidRDefault="009C6BB2" w:rsidP="00EC2F2D">
            <w:pPr>
              <w:jc w:val="center"/>
              <w:rPr>
                <w:b/>
                <w:color w:val="000000" w:themeColor="text1"/>
                <w:szCs w:val="24"/>
              </w:rPr>
            </w:pPr>
            <w:r w:rsidRPr="00EC2F2D">
              <w:rPr>
                <w:b/>
                <w:color w:val="000000" w:themeColor="text1"/>
                <w:szCs w:val="24"/>
              </w:rPr>
              <w:t>Total ABH olmayanlar</w:t>
            </w:r>
          </w:p>
          <w:p w:rsidR="009C6BB2" w:rsidRPr="00EC2F2D" w:rsidRDefault="009C6BB2" w:rsidP="00EC2F2D">
            <w:pPr>
              <w:jc w:val="center"/>
              <w:rPr>
                <w:b/>
                <w:color w:val="000000" w:themeColor="text1"/>
                <w:szCs w:val="24"/>
              </w:rPr>
            </w:pPr>
            <w:r w:rsidRPr="00EC2F2D">
              <w:rPr>
                <w:b/>
                <w:color w:val="000000" w:themeColor="text1"/>
                <w:szCs w:val="24"/>
              </w:rPr>
              <w:t>% 82.6 (265)</w:t>
            </w:r>
          </w:p>
        </w:tc>
        <w:tc>
          <w:tcPr>
            <w:tcW w:w="1289" w:type="dxa"/>
            <w:tcBorders>
              <w:left w:val="nil"/>
              <w:bottom w:val="single" w:sz="4" w:space="0" w:color="000000"/>
              <w:right w:val="nil"/>
            </w:tcBorders>
          </w:tcPr>
          <w:p w:rsidR="009C6BB2" w:rsidRPr="00EC2F2D" w:rsidRDefault="009C6BB2" w:rsidP="00EC2F2D">
            <w:pPr>
              <w:jc w:val="center"/>
              <w:rPr>
                <w:b/>
                <w:color w:val="000000" w:themeColor="text1"/>
                <w:szCs w:val="24"/>
              </w:rPr>
            </w:pPr>
            <w:r w:rsidRPr="00EC2F2D">
              <w:rPr>
                <w:b/>
                <w:color w:val="000000" w:themeColor="text1"/>
                <w:szCs w:val="24"/>
              </w:rPr>
              <w:t>P değeri</w:t>
            </w:r>
          </w:p>
        </w:tc>
      </w:tr>
      <w:tr w:rsidR="009C6BB2" w:rsidRPr="00F67102" w:rsidTr="00EC2F2D">
        <w:trPr>
          <w:trHeight w:val="245"/>
        </w:trPr>
        <w:tc>
          <w:tcPr>
            <w:tcW w:w="1330" w:type="dxa"/>
            <w:vMerge w:val="restart"/>
            <w:tcBorders>
              <w:left w:val="nil"/>
              <w:bottom w:val="nil"/>
              <w:right w:val="nil"/>
            </w:tcBorders>
          </w:tcPr>
          <w:p w:rsidR="009C6BB2" w:rsidRPr="00F67102" w:rsidRDefault="009C6BB2" w:rsidP="00EC2F2D">
            <w:pPr>
              <w:jc w:val="left"/>
              <w:rPr>
                <w:color w:val="000000" w:themeColor="text1"/>
                <w:szCs w:val="24"/>
              </w:rPr>
            </w:pPr>
            <w:r w:rsidRPr="00F67102">
              <w:rPr>
                <w:color w:val="000000" w:themeColor="text1"/>
                <w:szCs w:val="24"/>
              </w:rPr>
              <w:t>Cinsiyet</w:t>
            </w:r>
          </w:p>
          <w:p w:rsidR="009C6BB2" w:rsidRPr="00F67102" w:rsidRDefault="009C6BB2" w:rsidP="00EC2F2D">
            <w:pPr>
              <w:jc w:val="left"/>
              <w:rPr>
                <w:color w:val="000000" w:themeColor="text1"/>
                <w:szCs w:val="24"/>
              </w:rPr>
            </w:pPr>
          </w:p>
        </w:tc>
        <w:tc>
          <w:tcPr>
            <w:tcW w:w="1472" w:type="dxa"/>
            <w:tcBorders>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Kadın</w:t>
            </w:r>
          </w:p>
        </w:tc>
        <w:tc>
          <w:tcPr>
            <w:tcW w:w="2165" w:type="dxa"/>
            <w:vMerge w:val="restart"/>
            <w:tcBorders>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%37.5 (21)</w:t>
            </w:r>
          </w:p>
          <w:p w:rsidR="009C6BB2" w:rsidRPr="00F67102" w:rsidRDefault="009C6BB2" w:rsidP="009C6BB2">
            <w:pPr>
              <w:rPr>
                <w:color w:val="000000" w:themeColor="text1"/>
                <w:szCs w:val="24"/>
              </w:rPr>
            </w:pPr>
            <w:r w:rsidRPr="00F67102">
              <w:rPr>
                <w:color w:val="000000" w:themeColor="text1"/>
                <w:szCs w:val="24"/>
              </w:rPr>
              <w:t>%62.5 (35)</w:t>
            </w:r>
          </w:p>
        </w:tc>
        <w:tc>
          <w:tcPr>
            <w:tcW w:w="2747" w:type="dxa"/>
            <w:vMerge w:val="restart"/>
            <w:tcBorders>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%27.5 (73)</w:t>
            </w:r>
          </w:p>
          <w:p w:rsidR="009C6BB2" w:rsidRPr="00F67102" w:rsidRDefault="009C6BB2" w:rsidP="009C6BB2">
            <w:pPr>
              <w:rPr>
                <w:color w:val="000000" w:themeColor="text1"/>
                <w:szCs w:val="24"/>
              </w:rPr>
            </w:pPr>
            <w:r w:rsidRPr="00F67102">
              <w:rPr>
                <w:color w:val="000000" w:themeColor="text1"/>
                <w:szCs w:val="24"/>
              </w:rPr>
              <w:t>%72.5 (192)</w:t>
            </w:r>
          </w:p>
        </w:tc>
        <w:tc>
          <w:tcPr>
            <w:tcW w:w="1289" w:type="dxa"/>
            <w:vMerge w:val="restart"/>
            <w:tcBorders>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0.148</w:t>
            </w:r>
          </w:p>
        </w:tc>
      </w:tr>
      <w:tr w:rsidR="009C6BB2" w:rsidRPr="00F67102" w:rsidTr="00EC2F2D">
        <w:trPr>
          <w:trHeight w:val="244"/>
        </w:trPr>
        <w:tc>
          <w:tcPr>
            <w:tcW w:w="1330" w:type="dxa"/>
            <w:vMerge/>
            <w:tcBorders>
              <w:top w:val="nil"/>
              <w:left w:val="nil"/>
              <w:bottom w:val="nil"/>
              <w:right w:val="nil"/>
            </w:tcBorders>
          </w:tcPr>
          <w:p w:rsidR="009C6BB2" w:rsidRPr="00F67102" w:rsidRDefault="009C6BB2" w:rsidP="00EC2F2D">
            <w:pPr>
              <w:jc w:val="left"/>
              <w:rPr>
                <w:color w:val="000000" w:themeColor="text1"/>
                <w:szCs w:val="24"/>
              </w:rPr>
            </w:pPr>
          </w:p>
        </w:tc>
        <w:tc>
          <w:tcPr>
            <w:tcW w:w="1472"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Erkek</w:t>
            </w:r>
          </w:p>
        </w:tc>
        <w:tc>
          <w:tcPr>
            <w:tcW w:w="2165" w:type="dxa"/>
            <w:vMerge/>
            <w:tcBorders>
              <w:top w:val="nil"/>
              <w:left w:val="nil"/>
              <w:bottom w:val="nil"/>
              <w:right w:val="nil"/>
            </w:tcBorders>
          </w:tcPr>
          <w:p w:rsidR="009C6BB2" w:rsidRPr="00F67102" w:rsidRDefault="009C6BB2" w:rsidP="009C6BB2">
            <w:pPr>
              <w:rPr>
                <w:color w:val="000000" w:themeColor="text1"/>
                <w:szCs w:val="24"/>
              </w:rPr>
            </w:pPr>
          </w:p>
        </w:tc>
        <w:tc>
          <w:tcPr>
            <w:tcW w:w="2747" w:type="dxa"/>
            <w:vMerge/>
            <w:tcBorders>
              <w:top w:val="nil"/>
              <w:left w:val="nil"/>
              <w:bottom w:val="nil"/>
              <w:right w:val="nil"/>
            </w:tcBorders>
          </w:tcPr>
          <w:p w:rsidR="009C6BB2" w:rsidRPr="00F67102" w:rsidRDefault="009C6BB2" w:rsidP="009C6BB2">
            <w:pPr>
              <w:rPr>
                <w:color w:val="000000" w:themeColor="text1"/>
                <w:szCs w:val="24"/>
              </w:rPr>
            </w:pPr>
          </w:p>
        </w:tc>
        <w:tc>
          <w:tcPr>
            <w:tcW w:w="1289" w:type="dxa"/>
            <w:vMerge/>
            <w:tcBorders>
              <w:top w:val="nil"/>
              <w:left w:val="nil"/>
              <w:bottom w:val="nil"/>
              <w:right w:val="nil"/>
            </w:tcBorders>
          </w:tcPr>
          <w:p w:rsidR="009C6BB2" w:rsidRPr="00F67102" w:rsidRDefault="009C6BB2" w:rsidP="009C6BB2">
            <w:pPr>
              <w:rPr>
                <w:color w:val="000000" w:themeColor="text1"/>
                <w:szCs w:val="24"/>
              </w:rPr>
            </w:pPr>
          </w:p>
        </w:tc>
      </w:tr>
      <w:tr w:rsidR="009C6BB2" w:rsidRPr="00F67102" w:rsidTr="00EC2F2D">
        <w:tc>
          <w:tcPr>
            <w:tcW w:w="2802" w:type="dxa"/>
            <w:gridSpan w:val="2"/>
            <w:tcBorders>
              <w:top w:val="nil"/>
              <w:left w:val="nil"/>
              <w:bottom w:val="nil"/>
              <w:right w:val="nil"/>
            </w:tcBorders>
          </w:tcPr>
          <w:p w:rsidR="009C6BB2" w:rsidRPr="00F67102" w:rsidRDefault="009C6BB2" w:rsidP="00EC2F2D">
            <w:pPr>
              <w:jc w:val="left"/>
              <w:rPr>
                <w:color w:val="000000" w:themeColor="text1"/>
                <w:szCs w:val="24"/>
                <w:vertAlign w:val="superscript"/>
              </w:rPr>
            </w:pPr>
            <w:r w:rsidRPr="00F67102">
              <w:rPr>
                <w:color w:val="000000" w:themeColor="text1"/>
                <w:szCs w:val="24"/>
              </w:rPr>
              <w:t xml:space="preserve">Yaş </w:t>
            </w:r>
            <w:r w:rsidRPr="00F67102">
              <w:rPr>
                <w:color w:val="000000" w:themeColor="text1"/>
                <w:szCs w:val="24"/>
                <w:vertAlign w:val="superscript"/>
              </w:rPr>
              <w:t>α</w:t>
            </w:r>
          </w:p>
        </w:tc>
        <w:tc>
          <w:tcPr>
            <w:tcW w:w="2165"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69.3</w:t>
            </w:r>
          </w:p>
        </w:tc>
        <w:tc>
          <w:tcPr>
            <w:tcW w:w="2747"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62</w:t>
            </w:r>
          </w:p>
        </w:tc>
        <w:tc>
          <w:tcPr>
            <w:tcW w:w="1289" w:type="dxa"/>
            <w:tcBorders>
              <w:top w:val="nil"/>
              <w:left w:val="nil"/>
              <w:bottom w:val="nil"/>
              <w:right w:val="nil"/>
            </w:tcBorders>
          </w:tcPr>
          <w:p w:rsidR="009C6BB2" w:rsidRPr="00F67102" w:rsidRDefault="009C6BB2" w:rsidP="009C6BB2">
            <w:pPr>
              <w:rPr>
                <w:b/>
                <w:color w:val="000000" w:themeColor="text1"/>
                <w:szCs w:val="24"/>
              </w:rPr>
            </w:pPr>
            <w:r w:rsidRPr="00F67102">
              <w:rPr>
                <w:b/>
                <w:color w:val="000000" w:themeColor="text1"/>
                <w:szCs w:val="24"/>
              </w:rPr>
              <w:t>&lt;0.001*</w:t>
            </w:r>
          </w:p>
        </w:tc>
      </w:tr>
      <w:tr w:rsidR="009C6BB2" w:rsidRPr="00F67102" w:rsidTr="00EC2F2D">
        <w:tc>
          <w:tcPr>
            <w:tcW w:w="2802" w:type="dxa"/>
            <w:gridSpan w:val="2"/>
            <w:tcBorders>
              <w:top w:val="nil"/>
              <w:left w:val="nil"/>
              <w:bottom w:val="nil"/>
              <w:right w:val="nil"/>
            </w:tcBorders>
          </w:tcPr>
          <w:p w:rsidR="009C6BB2" w:rsidRPr="00F67102" w:rsidRDefault="009C6BB2" w:rsidP="00EC2F2D">
            <w:pPr>
              <w:jc w:val="left"/>
              <w:rPr>
                <w:color w:val="000000" w:themeColor="text1"/>
                <w:szCs w:val="24"/>
              </w:rPr>
            </w:pPr>
            <w:r w:rsidRPr="00F67102">
              <w:rPr>
                <w:color w:val="000000" w:themeColor="text1"/>
                <w:szCs w:val="24"/>
              </w:rPr>
              <w:t>Sigara</w:t>
            </w:r>
          </w:p>
        </w:tc>
        <w:tc>
          <w:tcPr>
            <w:tcW w:w="2165"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%19.6 (11)</w:t>
            </w:r>
          </w:p>
        </w:tc>
        <w:tc>
          <w:tcPr>
            <w:tcW w:w="2747"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35.1 (93)</w:t>
            </w:r>
          </w:p>
        </w:tc>
        <w:tc>
          <w:tcPr>
            <w:tcW w:w="1289" w:type="dxa"/>
            <w:tcBorders>
              <w:top w:val="nil"/>
              <w:left w:val="nil"/>
              <w:bottom w:val="nil"/>
              <w:right w:val="nil"/>
            </w:tcBorders>
          </w:tcPr>
          <w:p w:rsidR="009C6BB2" w:rsidRPr="00F67102" w:rsidRDefault="009C6BB2" w:rsidP="009C6BB2">
            <w:pPr>
              <w:rPr>
                <w:b/>
                <w:color w:val="000000" w:themeColor="text1"/>
                <w:szCs w:val="24"/>
              </w:rPr>
            </w:pPr>
            <w:r w:rsidRPr="00F67102">
              <w:rPr>
                <w:b/>
                <w:color w:val="000000" w:themeColor="text1"/>
                <w:szCs w:val="24"/>
              </w:rPr>
              <w:t>0.028*</w:t>
            </w:r>
          </w:p>
        </w:tc>
      </w:tr>
      <w:tr w:rsidR="009C6BB2" w:rsidRPr="00F67102" w:rsidTr="00EC2F2D">
        <w:tc>
          <w:tcPr>
            <w:tcW w:w="2802" w:type="dxa"/>
            <w:gridSpan w:val="2"/>
            <w:tcBorders>
              <w:top w:val="nil"/>
              <w:left w:val="nil"/>
              <w:bottom w:val="nil"/>
              <w:right w:val="nil"/>
            </w:tcBorders>
          </w:tcPr>
          <w:p w:rsidR="009C6BB2" w:rsidRPr="00F67102" w:rsidRDefault="009C6BB2" w:rsidP="00EC2F2D">
            <w:pPr>
              <w:jc w:val="left"/>
              <w:rPr>
                <w:color w:val="000000" w:themeColor="text1"/>
                <w:szCs w:val="24"/>
              </w:rPr>
            </w:pPr>
            <w:r w:rsidRPr="00F67102">
              <w:rPr>
                <w:color w:val="000000" w:themeColor="text1"/>
                <w:szCs w:val="24"/>
              </w:rPr>
              <w:t>DM</w:t>
            </w:r>
          </w:p>
        </w:tc>
        <w:tc>
          <w:tcPr>
            <w:tcW w:w="2165"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48.2 (27)</w:t>
            </w:r>
          </w:p>
        </w:tc>
        <w:tc>
          <w:tcPr>
            <w:tcW w:w="2747"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36.6 (97)</w:t>
            </w:r>
          </w:p>
        </w:tc>
        <w:tc>
          <w:tcPr>
            <w:tcW w:w="1289"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0.131</w:t>
            </w:r>
          </w:p>
        </w:tc>
      </w:tr>
      <w:tr w:rsidR="009C6BB2" w:rsidRPr="00F67102" w:rsidTr="00EC2F2D">
        <w:tc>
          <w:tcPr>
            <w:tcW w:w="2802" w:type="dxa"/>
            <w:gridSpan w:val="2"/>
            <w:tcBorders>
              <w:top w:val="nil"/>
              <w:left w:val="nil"/>
              <w:bottom w:val="nil"/>
              <w:right w:val="nil"/>
            </w:tcBorders>
          </w:tcPr>
          <w:p w:rsidR="009C6BB2" w:rsidRPr="00F67102" w:rsidRDefault="009C6BB2" w:rsidP="00EC2F2D">
            <w:pPr>
              <w:jc w:val="left"/>
              <w:rPr>
                <w:color w:val="000000" w:themeColor="text1"/>
                <w:szCs w:val="24"/>
              </w:rPr>
            </w:pPr>
            <w:r w:rsidRPr="00F67102">
              <w:rPr>
                <w:color w:val="000000" w:themeColor="text1"/>
                <w:szCs w:val="24"/>
              </w:rPr>
              <w:t>HT</w:t>
            </w:r>
          </w:p>
        </w:tc>
        <w:tc>
          <w:tcPr>
            <w:tcW w:w="2165"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85.7 (48)</w:t>
            </w:r>
          </w:p>
        </w:tc>
        <w:tc>
          <w:tcPr>
            <w:tcW w:w="2747"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69.1 (183)</w:t>
            </w:r>
          </w:p>
        </w:tc>
        <w:tc>
          <w:tcPr>
            <w:tcW w:w="1289" w:type="dxa"/>
            <w:tcBorders>
              <w:top w:val="nil"/>
              <w:left w:val="nil"/>
              <w:bottom w:val="nil"/>
              <w:right w:val="nil"/>
            </w:tcBorders>
          </w:tcPr>
          <w:p w:rsidR="009C6BB2" w:rsidRPr="00F67102" w:rsidRDefault="009C6BB2" w:rsidP="009C6BB2">
            <w:pPr>
              <w:rPr>
                <w:b/>
                <w:color w:val="000000" w:themeColor="text1"/>
                <w:szCs w:val="24"/>
              </w:rPr>
            </w:pPr>
            <w:r w:rsidRPr="00F67102">
              <w:rPr>
                <w:b/>
                <w:color w:val="000000" w:themeColor="text1"/>
                <w:szCs w:val="24"/>
              </w:rPr>
              <w:t>0.013*</w:t>
            </w:r>
          </w:p>
        </w:tc>
      </w:tr>
      <w:tr w:rsidR="009C6BB2" w:rsidRPr="00F67102" w:rsidTr="00EC2F2D">
        <w:tc>
          <w:tcPr>
            <w:tcW w:w="2802" w:type="dxa"/>
            <w:gridSpan w:val="2"/>
            <w:tcBorders>
              <w:top w:val="nil"/>
              <w:left w:val="nil"/>
              <w:bottom w:val="nil"/>
              <w:right w:val="nil"/>
            </w:tcBorders>
          </w:tcPr>
          <w:p w:rsidR="009C6BB2" w:rsidRPr="00F67102" w:rsidRDefault="009C6BB2" w:rsidP="00EC2F2D">
            <w:pPr>
              <w:jc w:val="left"/>
              <w:rPr>
                <w:color w:val="000000" w:themeColor="text1"/>
                <w:szCs w:val="24"/>
              </w:rPr>
            </w:pPr>
            <w:r w:rsidRPr="00F67102">
              <w:rPr>
                <w:color w:val="000000" w:themeColor="text1"/>
                <w:szCs w:val="24"/>
              </w:rPr>
              <w:t>KBH</w:t>
            </w:r>
          </w:p>
        </w:tc>
        <w:tc>
          <w:tcPr>
            <w:tcW w:w="2165"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32.1 (18)</w:t>
            </w:r>
          </w:p>
        </w:tc>
        <w:tc>
          <w:tcPr>
            <w:tcW w:w="2747"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17 (45)</w:t>
            </w:r>
          </w:p>
        </w:tc>
        <w:tc>
          <w:tcPr>
            <w:tcW w:w="1289" w:type="dxa"/>
            <w:tcBorders>
              <w:top w:val="nil"/>
              <w:left w:val="nil"/>
              <w:bottom w:val="nil"/>
              <w:right w:val="nil"/>
            </w:tcBorders>
          </w:tcPr>
          <w:p w:rsidR="009C6BB2" w:rsidRPr="00F67102" w:rsidRDefault="009C6BB2" w:rsidP="009C6BB2">
            <w:pPr>
              <w:rPr>
                <w:b/>
                <w:color w:val="000000" w:themeColor="text1"/>
                <w:szCs w:val="24"/>
              </w:rPr>
            </w:pPr>
            <w:r w:rsidRPr="00F67102">
              <w:rPr>
                <w:b/>
                <w:color w:val="000000" w:themeColor="text1"/>
                <w:szCs w:val="24"/>
              </w:rPr>
              <w:t>0.015*</w:t>
            </w:r>
          </w:p>
        </w:tc>
      </w:tr>
      <w:tr w:rsidR="009C6BB2" w:rsidRPr="00F67102" w:rsidTr="00EC2F2D">
        <w:tc>
          <w:tcPr>
            <w:tcW w:w="2802" w:type="dxa"/>
            <w:gridSpan w:val="2"/>
            <w:tcBorders>
              <w:top w:val="nil"/>
              <w:left w:val="nil"/>
              <w:bottom w:val="nil"/>
              <w:right w:val="nil"/>
            </w:tcBorders>
          </w:tcPr>
          <w:p w:rsidR="009C6BB2" w:rsidRPr="00F67102" w:rsidRDefault="009C6BB2" w:rsidP="00EC2F2D">
            <w:pPr>
              <w:jc w:val="left"/>
              <w:rPr>
                <w:color w:val="000000" w:themeColor="text1"/>
                <w:szCs w:val="24"/>
              </w:rPr>
            </w:pPr>
            <w:r w:rsidRPr="00F67102">
              <w:rPr>
                <w:color w:val="000000" w:themeColor="text1"/>
                <w:szCs w:val="24"/>
              </w:rPr>
              <w:t>HL</w:t>
            </w:r>
          </w:p>
        </w:tc>
        <w:tc>
          <w:tcPr>
            <w:tcW w:w="2165"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53.6 (30)</w:t>
            </w:r>
          </w:p>
        </w:tc>
        <w:tc>
          <w:tcPr>
            <w:tcW w:w="2747"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40.4 (107)</w:t>
            </w:r>
          </w:p>
        </w:tc>
        <w:tc>
          <w:tcPr>
            <w:tcW w:w="1289"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0.076</w:t>
            </w:r>
          </w:p>
        </w:tc>
      </w:tr>
      <w:tr w:rsidR="009C6BB2" w:rsidRPr="00F67102" w:rsidTr="00EC2F2D">
        <w:tc>
          <w:tcPr>
            <w:tcW w:w="2802" w:type="dxa"/>
            <w:gridSpan w:val="2"/>
            <w:tcBorders>
              <w:top w:val="nil"/>
              <w:left w:val="nil"/>
              <w:bottom w:val="nil"/>
              <w:right w:val="nil"/>
            </w:tcBorders>
          </w:tcPr>
          <w:p w:rsidR="009C6BB2" w:rsidRPr="00F67102" w:rsidRDefault="009C6BB2" w:rsidP="00EC2F2D">
            <w:pPr>
              <w:jc w:val="left"/>
              <w:rPr>
                <w:color w:val="000000" w:themeColor="text1"/>
                <w:szCs w:val="24"/>
              </w:rPr>
            </w:pPr>
            <w:r w:rsidRPr="00F67102">
              <w:rPr>
                <w:color w:val="000000" w:themeColor="text1"/>
                <w:szCs w:val="24"/>
              </w:rPr>
              <w:t>Tekrarlayan AKS</w:t>
            </w:r>
          </w:p>
        </w:tc>
        <w:tc>
          <w:tcPr>
            <w:tcW w:w="2165"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42.9 (24)</w:t>
            </w:r>
          </w:p>
        </w:tc>
        <w:tc>
          <w:tcPr>
            <w:tcW w:w="2747"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40.4  (107)</w:t>
            </w:r>
          </w:p>
        </w:tc>
        <w:tc>
          <w:tcPr>
            <w:tcW w:w="1289"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0.766</w:t>
            </w:r>
          </w:p>
        </w:tc>
      </w:tr>
      <w:tr w:rsidR="009C6BB2" w:rsidRPr="00F67102" w:rsidTr="00EC2F2D">
        <w:tc>
          <w:tcPr>
            <w:tcW w:w="2802" w:type="dxa"/>
            <w:gridSpan w:val="2"/>
            <w:tcBorders>
              <w:top w:val="nil"/>
              <w:left w:val="nil"/>
              <w:bottom w:val="nil"/>
              <w:right w:val="nil"/>
            </w:tcBorders>
          </w:tcPr>
          <w:p w:rsidR="009C6BB2" w:rsidRPr="00F67102" w:rsidRDefault="009C6BB2" w:rsidP="00EC2F2D">
            <w:pPr>
              <w:jc w:val="left"/>
              <w:rPr>
                <w:color w:val="000000" w:themeColor="text1"/>
                <w:szCs w:val="24"/>
              </w:rPr>
            </w:pPr>
            <w:r w:rsidRPr="00F67102">
              <w:rPr>
                <w:color w:val="000000" w:themeColor="text1"/>
                <w:szCs w:val="24"/>
              </w:rPr>
              <w:t>Geçirilmiş Koroner By-pass</w:t>
            </w:r>
          </w:p>
        </w:tc>
        <w:tc>
          <w:tcPr>
            <w:tcW w:w="2165"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25 (14)</w:t>
            </w:r>
          </w:p>
        </w:tc>
        <w:tc>
          <w:tcPr>
            <w:tcW w:w="2747"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21.1 (56)</w:t>
            </w:r>
          </w:p>
        </w:tc>
        <w:tc>
          <w:tcPr>
            <w:tcW w:w="1289"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0.593</w:t>
            </w:r>
          </w:p>
        </w:tc>
      </w:tr>
      <w:tr w:rsidR="009C6BB2" w:rsidRPr="00F67102" w:rsidTr="00EC2F2D">
        <w:tc>
          <w:tcPr>
            <w:tcW w:w="2802" w:type="dxa"/>
            <w:gridSpan w:val="2"/>
            <w:tcBorders>
              <w:top w:val="nil"/>
              <w:left w:val="nil"/>
              <w:bottom w:val="nil"/>
              <w:right w:val="nil"/>
            </w:tcBorders>
          </w:tcPr>
          <w:p w:rsidR="009C6BB2" w:rsidRPr="00F67102" w:rsidRDefault="009C6BB2" w:rsidP="00EC2F2D">
            <w:pPr>
              <w:jc w:val="left"/>
              <w:rPr>
                <w:color w:val="000000" w:themeColor="text1"/>
                <w:szCs w:val="24"/>
              </w:rPr>
            </w:pPr>
            <w:r w:rsidRPr="00F67102">
              <w:rPr>
                <w:color w:val="000000" w:themeColor="text1"/>
                <w:szCs w:val="24"/>
              </w:rPr>
              <w:t>Geçirilmiş SVO</w:t>
            </w:r>
          </w:p>
        </w:tc>
        <w:tc>
          <w:tcPr>
            <w:tcW w:w="2165"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xml:space="preserve">%5.4 (3) </w:t>
            </w:r>
          </w:p>
        </w:tc>
        <w:tc>
          <w:tcPr>
            <w:tcW w:w="2747"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5.3 (14)</w:t>
            </w:r>
          </w:p>
        </w:tc>
        <w:tc>
          <w:tcPr>
            <w:tcW w:w="1289"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1.000</w:t>
            </w:r>
          </w:p>
        </w:tc>
      </w:tr>
      <w:tr w:rsidR="009C6BB2" w:rsidRPr="00F67102" w:rsidTr="00EC2F2D">
        <w:tc>
          <w:tcPr>
            <w:tcW w:w="2802" w:type="dxa"/>
            <w:gridSpan w:val="2"/>
            <w:tcBorders>
              <w:top w:val="nil"/>
              <w:left w:val="nil"/>
              <w:bottom w:val="nil"/>
              <w:right w:val="nil"/>
            </w:tcBorders>
          </w:tcPr>
          <w:p w:rsidR="009C6BB2" w:rsidRPr="00F67102" w:rsidRDefault="009C6BB2" w:rsidP="00EC2F2D">
            <w:pPr>
              <w:jc w:val="left"/>
              <w:rPr>
                <w:color w:val="000000" w:themeColor="text1"/>
                <w:szCs w:val="24"/>
              </w:rPr>
            </w:pPr>
            <w:r w:rsidRPr="00F67102">
              <w:rPr>
                <w:color w:val="000000" w:themeColor="text1"/>
                <w:szCs w:val="24"/>
              </w:rPr>
              <w:t>Anemi</w:t>
            </w:r>
          </w:p>
        </w:tc>
        <w:tc>
          <w:tcPr>
            <w:tcW w:w="2165"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32.1 (18)</w:t>
            </w:r>
          </w:p>
        </w:tc>
        <w:tc>
          <w:tcPr>
            <w:tcW w:w="2747"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20.8 (55)</w:t>
            </w:r>
          </w:p>
        </w:tc>
        <w:tc>
          <w:tcPr>
            <w:tcW w:w="1289"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0.079</w:t>
            </w:r>
          </w:p>
        </w:tc>
      </w:tr>
      <w:tr w:rsidR="009C6BB2" w:rsidRPr="00F67102" w:rsidTr="00EC2F2D">
        <w:tc>
          <w:tcPr>
            <w:tcW w:w="2802" w:type="dxa"/>
            <w:gridSpan w:val="2"/>
            <w:tcBorders>
              <w:top w:val="nil"/>
              <w:left w:val="nil"/>
              <w:bottom w:val="nil"/>
              <w:right w:val="nil"/>
            </w:tcBorders>
          </w:tcPr>
          <w:p w:rsidR="009C6BB2" w:rsidRPr="00F67102" w:rsidRDefault="009C6BB2" w:rsidP="00EC2F2D">
            <w:pPr>
              <w:jc w:val="left"/>
              <w:rPr>
                <w:color w:val="000000" w:themeColor="text1"/>
                <w:szCs w:val="24"/>
              </w:rPr>
            </w:pPr>
            <w:r w:rsidRPr="00F67102">
              <w:rPr>
                <w:color w:val="000000" w:themeColor="text1"/>
                <w:szCs w:val="24"/>
              </w:rPr>
              <w:t>Hipotansiyon</w:t>
            </w:r>
          </w:p>
        </w:tc>
        <w:tc>
          <w:tcPr>
            <w:tcW w:w="2165"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12.5(7)</w:t>
            </w:r>
          </w:p>
        </w:tc>
        <w:tc>
          <w:tcPr>
            <w:tcW w:w="2747"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3.8 (10)</w:t>
            </w:r>
          </w:p>
        </w:tc>
        <w:tc>
          <w:tcPr>
            <w:tcW w:w="1289" w:type="dxa"/>
            <w:tcBorders>
              <w:top w:val="nil"/>
              <w:left w:val="nil"/>
              <w:bottom w:val="nil"/>
              <w:right w:val="nil"/>
            </w:tcBorders>
          </w:tcPr>
          <w:p w:rsidR="009C6BB2" w:rsidRPr="00F67102" w:rsidRDefault="009C6BB2" w:rsidP="009C6BB2">
            <w:pPr>
              <w:rPr>
                <w:b/>
                <w:color w:val="000000" w:themeColor="text1"/>
                <w:szCs w:val="24"/>
              </w:rPr>
            </w:pPr>
            <w:r w:rsidRPr="00F67102">
              <w:rPr>
                <w:b/>
                <w:color w:val="000000" w:themeColor="text1"/>
                <w:szCs w:val="24"/>
              </w:rPr>
              <w:t>0.016*</w:t>
            </w:r>
          </w:p>
        </w:tc>
      </w:tr>
      <w:tr w:rsidR="009C6BB2" w:rsidRPr="00F67102" w:rsidTr="00EC2F2D">
        <w:tc>
          <w:tcPr>
            <w:tcW w:w="2802" w:type="dxa"/>
            <w:gridSpan w:val="2"/>
            <w:tcBorders>
              <w:top w:val="nil"/>
              <w:left w:val="nil"/>
              <w:bottom w:val="nil"/>
              <w:right w:val="nil"/>
            </w:tcBorders>
          </w:tcPr>
          <w:p w:rsidR="009C6BB2" w:rsidRPr="00F67102" w:rsidRDefault="009C6BB2" w:rsidP="00EC2F2D">
            <w:pPr>
              <w:jc w:val="left"/>
              <w:rPr>
                <w:color w:val="000000" w:themeColor="text1"/>
                <w:szCs w:val="24"/>
              </w:rPr>
            </w:pPr>
            <w:r w:rsidRPr="00F67102">
              <w:rPr>
                <w:color w:val="000000" w:themeColor="text1"/>
                <w:szCs w:val="24"/>
              </w:rPr>
              <w:t>AV blok</w:t>
            </w:r>
          </w:p>
        </w:tc>
        <w:tc>
          <w:tcPr>
            <w:tcW w:w="2165"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12.5 (7)</w:t>
            </w:r>
          </w:p>
        </w:tc>
        <w:tc>
          <w:tcPr>
            <w:tcW w:w="2747"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3.8 (10)</w:t>
            </w:r>
          </w:p>
        </w:tc>
        <w:tc>
          <w:tcPr>
            <w:tcW w:w="1289" w:type="dxa"/>
            <w:tcBorders>
              <w:top w:val="nil"/>
              <w:left w:val="nil"/>
              <w:bottom w:val="nil"/>
              <w:right w:val="nil"/>
            </w:tcBorders>
          </w:tcPr>
          <w:p w:rsidR="009C6BB2" w:rsidRPr="00F67102" w:rsidRDefault="009C6BB2" w:rsidP="009C6BB2">
            <w:pPr>
              <w:rPr>
                <w:b/>
                <w:color w:val="000000" w:themeColor="text1"/>
                <w:szCs w:val="24"/>
              </w:rPr>
            </w:pPr>
            <w:r w:rsidRPr="00F67102">
              <w:rPr>
                <w:b/>
                <w:color w:val="000000" w:themeColor="text1"/>
                <w:szCs w:val="24"/>
              </w:rPr>
              <w:t>0.016*</w:t>
            </w:r>
          </w:p>
        </w:tc>
      </w:tr>
      <w:tr w:rsidR="009C6BB2" w:rsidRPr="00F67102" w:rsidTr="00EC2F2D">
        <w:tc>
          <w:tcPr>
            <w:tcW w:w="2802" w:type="dxa"/>
            <w:gridSpan w:val="2"/>
            <w:tcBorders>
              <w:top w:val="nil"/>
              <w:left w:val="nil"/>
              <w:bottom w:val="nil"/>
              <w:right w:val="nil"/>
            </w:tcBorders>
          </w:tcPr>
          <w:p w:rsidR="009C6BB2" w:rsidRPr="00F67102" w:rsidRDefault="009C6BB2" w:rsidP="00EC2F2D">
            <w:pPr>
              <w:jc w:val="left"/>
              <w:rPr>
                <w:color w:val="000000" w:themeColor="text1"/>
                <w:szCs w:val="24"/>
              </w:rPr>
            </w:pPr>
            <w:r w:rsidRPr="00F67102">
              <w:rPr>
                <w:color w:val="000000" w:themeColor="text1"/>
                <w:szCs w:val="24"/>
              </w:rPr>
              <w:t>Kardiyojenik Şok</w:t>
            </w:r>
          </w:p>
        </w:tc>
        <w:tc>
          <w:tcPr>
            <w:tcW w:w="2165"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14.3 (8)</w:t>
            </w:r>
          </w:p>
        </w:tc>
        <w:tc>
          <w:tcPr>
            <w:tcW w:w="2747"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1.1 (3)</w:t>
            </w:r>
          </w:p>
        </w:tc>
        <w:tc>
          <w:tcPr>
            <w:tcW w:w="1289" w:type="dxa"/>
            <w:tcBorders>
              <w:top w:val="nil"/>
              <w:left w:val="nil"/>
              <w:bottom w:val="nil"/>
              <w:right w:val="nil"/>
            </w:tcBorders>
          </w:tcPr>
          <w:p w:rsidR="009C6BB2" w:rsidRPr="00F67102" w:rsidRDefault="009C6BB2" w:rsidP="009C6BB2">
            <w:pPr>
              <w:rPr>
                <w:b/>
                <w:color w:val="000000" w:themeColor="text1"/>
                <w:szCs w:val="24"/>
              </w:rPr>
            </w:pPr>
            <w:r w:rsidRPr="00F67102">
              <w:rPr>
                <w:b/>
                <w:color w:val="000000" w:themeColor="text1"/>
                <w:szCs w:val="24"/>
              </w:rPr>
              <w:t>&lt;0.001*</w:t>
            </w:r>
          </w:p>
        </w:tc>
      </w:tr>
      <w:tr w:rsidR="009C6BB2" w:rsidRPr="00F67102" w:rsidTr="00EC2F2D">
        <w:tc>
          <w:tcPr>
            <w:tcW w:w="2802" w:type="dxa"/>
            <w:gridSpan w:val="2"/>
            <w:tcBorders>
              <w:top w:val="nil"/>
              <w:left w:val="nil"/>
              <w:bottom w:val="nil"/>
              <w:right w:val="nil"/>
            </w:tcBorders>
          </w:tcPr>
          <w:p w:rsidR="009C6BB2" w:rsidRPr="00F67102" w:rsidRDefault="009C6BB2" w:rsidP="00EC2F2D">
            <w:pPr>
              <w:jc w:val="left"/>
              <w:rPr>
                <w:color w:val="000000" w:themeColor="text1"/>
                <w:szCs w:val="24"/>
              </w:rPr>
            </w:pPr>
            <w:r w:rsidRPr="00F67102">
              <w:rPr>
                <w:color w:val="000000" w:themeColor="text1"/>
                <w:szCs w:val="24"/>
              </w:rPr>
              <w:t>VT</w:t>
            </w:r>
          </w:p>
        </w:tc>
        <w:tc>
          <w:tcPr>
            <w:tcW w:w="2165"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3.6 (2)</w:t>
            </w:r>
          </w:p>
        </w:tc>
        <w:tc>
          <w:tcPr>
            <w:tcW w:w="2747"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1.1 (3)</w:t>
            </w:r>
          </w:p>
        </w:tc>
        <w:tc>
          <w:tcPr>
            <w:tcW w:w="1289"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0.210</w:t>
            </w:r>
          </w:p>
        </w:tc>
      </w:tr>
      <w:tr w:rsidR="009C6BB2" w:rsidRPr="00F67102" w:rsidTr="00EC2F2D">
        <w:tc>
          <w:tcPr>
            <w:tcW w:w="2802" w:type="dxa"/>
            <w:gridSpan w:val="2"/>
            <w:tcBorders>
              <w:top w:val="nil"/>
              <w:left w:val="nil"/>
              <w:bottom w:val="nil"/>
              <w:right w:val="nil"/>
            </w:tcBorders>
          </w:tcPr>
          <w:p w:rsidR="009C6BB2" w:rsidRPr="00F67102" w:rsidRDefault="009C6BB2" w:rsidP="00EC2F2D">
            <w:pPr>
              <w:jc w:val="left"/>
              <w:rPr>
                <w:color w:val="000000" w:themeColor="text1"/>
                <w:szCs w:val="24"/>
              </w:rPr>
            </w:pPr>
            <w:r w:rsidRPr="00F67102">
              <w:rPr>
                <w:color w:val="000000" w:themeColor="text1"/>
                <w:szCs w:val="24"/>
              </w:rPr>
              <w:t>VF</w:t>
            </w:r>
          </w:p>
        </w:tc>
        <w:tc>
          <w:tcPr>
            <w:tcW w:w="2165"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8.9 (5)</w:t>
            </w:r>
          </w:p>
        </w:tc>
        <w:tc>
          <w:tcPr>
            <w:tcW w:w="2747"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2.6 (7)</w:t>
            </w:r>
          </w:p>
        </w:tc>
        <w:tc>
          <w:tcPr>
            <w:tcW w:w="1289" w:type="dxa"/>
            <w:tcBorders>
              <w:top w:val="nil"/>
              <w:left w:val="nil"/>
              <w:bottom w:val="nil"/>
              <w:right w:val="nil"/>
            </w:tcBorders>
          </w:tcPr>
          <w:p w:rsidR="009C6BB2" w:rsidRPr="00F67102" w:rsidRDefault="009C6BB2" w:rsidP="009C6BB2">
            <w:pPr>
              <w:rPr>
                <w:b/>
                <w:color w:val="000000" w:themeColor="text1"/>
                <w:szCs w:val="24"/>
              </w:rPr>
            </w:pPr>
            <w:r w:rsidRPr="00F67102">
              <w:rPr>
                <w:b/>
                <w:color w:val="000000" w:themeColor="text1"/>
                <w:szCs w:val="24"/>
              </w:rPr>
              <w:t>0.040*</w:t>
            </w:r>
          </w:p>
        </w:tc>
      </w:tr>
      <w:tr w:rsidR="009C6BB2" w:rsidRPr="00F67102" w:rsidTr="00EC2F2D">
        <w:tc>
          <w:tcPr>
            <w:tcW w:w="2802" w:type="dxa"/>
            <w:gridSpan w:val="2"/>
            <w:tcBorders>
              <w:top w:val="nil"/>
              <w:left w:val="nil"/>
              <w:bottom w:val="nil"/>
              <w:right w:val="nil"/>
            </w:tcBorders>
          </w:tcPr>
          <w:p w:rsidR="009C6BB2" w:rsidRPr="00F67102" w:rsidRDefault="009C6BB2" w:rsidP="00EC2F2D">
            <w:pPr>
              <w:jc w:val="left"/>
              <w:rPr>
                <w:color w:val="000000" w:themeColor="text1"/>
                <w:szCs w:val="24"/>
              </w:rPr>
            </w:pPr>
            <w:r w:rsidRPr="00F67102">
              <w:rPr>
                <w:color w:val="000000" w:themeColor="text1"/>
                <w:szCs w:val="24"/>
              </w:rPr>
              <w:t>Daha önce kronik AF</w:t>
            </w:r>
          </w:p>
        </w:tc>
        <w:tc>
          <w:tcPr>
            <w:tcW w:w="2165"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7.1 (4)</w:t>
            </w:r>
          </w:p>
        </w:tc>
        <w:tc>
          <w:tcPr>
            <w:tcW w:w="2747"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2.7 (6)</w:t>
            </w:r>
          </w:p>
        </w:tc>
        <w:tc>
          <w:tcPr>
            <w:tcW w:w="1289"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0.106</w:t>
            </w:r>
          </w:p>
        </w:tc>
      </w:tr>
      <w:tr w:rsidR="009C6BB2" w:rsidRPr="00F67102" w:rsidTr="00EC2F2D">
        <w:tc>
          <w:tcPr>
            <w:tcW w:w="2802" w:type="dxa"/>
            <w:gridSpan w:val="2"/>
            <w:tcBorders>
              <w:top w:val="nil"/>
              <w:left w:val="nil"/>
              <w:bottom w:val="nil"/>
              <w:right w:val="nil"/>
            </w:tcBorders>
          </w:tcPr>
          <w:p w:rsidR="009C6BB2" w:rsidRPr="00F67102" w:rsidRDefault="009C6BB2" w:rsidP="00EC2F2D">
            <w:pPr>
              <w:jc w:val="left"/>
              <w:rPr>
                <w:color w:val="000000" w:themeColor="text1"/>
                <w:szCs w:val="24"/>
              </w:rPr>
            </w:pPr>
            <w:r w:rsidRPr="00F67102">
              <w:rPr>
                <w:color w:val="000000" w:themeColor="text1"/>
                <w:szCs w:val="24"/>
              </w:rPr>
              <w:t>Hastanede AF</w:t>
            </w:r>
          </w:p>
        </w:tc>
        <w:tc>
          <w:tcPr>
            <w:tcW w:w="2165"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23.2 (13)</w:t>
            </w:r>
          </w:p>
        </w:tc>
        <w:tc>
          <w:tcPr>
            <w:tcW w:w="2747"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4.9 (13)</w:t>
            </w:r>
          </w:p>
        </w:tc>
        <w:tc>
          <w:tcPr>
            <w:tcW w:w="1289" w:type="dxa"/>
            <w:tcBorders>
              <w:top w:val="nil"/>
              <w:left w:val="nil"/>
              <w:bottom w:val="nil"/>
              <w:right w:val="nil"/>
            </w:tcBorders>
          </w:tcPr>
          <w:p w:rsidR="009C6BB2" w:rsidRPr="00F67102" w:rsidRDefault="009C6BB2" w:rsidP="009C6BB2">
            <w:pPr>
              <w:rPr>
                <w:b/>
                <w:color w:val="000000" w:themeColor="text1"/>
                <w:szCs w:val="24"/>
              </w:rPr>
            </w:pPr>
            <w:r w:rsidRPr="00F67102">
              <w:rPr>
                <w:b/>
                <w:color w:val="000000" w:themeColor="text1"/>
                <w:szCs w:val="24"/>
              </w:rPr>
              <w:t>&lt;0.001*</w:t>
            </w:r>
          </w:p>
        </w:tc>
      </w:tr>
      <w:tr w:rsidR="009C6BB2" w:rsidRPr="00F67102" w:rsidTr="00EC2F2D">
        <w:tc>
          <w:tcPr>
            <w:tcW w:w="2802" w:type="dxa"/>
            <w:gridSpan w:val="2"/>
            <w:tcBorders>
              <w:top w:val="nil"/>
              <w:left w:val="nil"/>
              <w:bottom w:val="nil"/>
              <w:right w:val="nil"/>
            </w:tcBorders>
          </w:tcPr>
          <w:p w:rsidR="009C6BB2" w:rsidRPr="00F67102" w:rsidRDefault="009C6BB2" w:rsidP="00EC2F2D">
            <w:pPr>
              <w:jc w:val="left"/>
              <w:rPr>
                <w:color w:val="000000" w:themeColor="text1"/>
                <w:szCs w:val="24"/>
              </w:rPr>
            </w:pPr>
            <w:r w:rsidRPr="00F67102">
              <w:rPr>
                <w:color w:val="000000" w:themeColor="text1"/>
                <w:szCs w:val="24"/>
              </w:rPr>
              <w:t>Hastanede ES transfüzyonu</w:t>
            </w:r>
          </w:p>
        </w:tc>
        <w:tc>
          <w:tcPr>
            <w:tcW w:w="2165"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3.6 (2)</w:t>
            </w:r>
          </w:p>
        </w:tc>
        <w:tc>
          <w:tcPr>
            <w:tcW w:w="2747"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1.5 (4)</w:t>
            </w:r>
          </w:p>
        </w:tc>
        <w:tc>
          <w:tcPr>
            <w:tcW w:w="1289"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0.282</w:t>
            </w:r>
          </w:p>
        </w:tc>
      </w:tr>
      <w:tr w:rsidR="009C6BB2" w:rsidRPr="00F67102" w:rsidTr="00EC2F2D">
        <w:tc>
          <w:tcPr>
            <w:tcW w:w="2802" w:type="dxa"/>
            <w:gridSpan w:val="2"/>
            <w:tcBorders>
              <w:top w:val="nil"/>
              <w:left w:val="nil"/>
              <w:bottom w:val="nil"/>
              <w:right w:val="nil"/>
            </w:tcBorders>
          </w:tcPr>
          <w:p w:rsidR="009C6BB2" w:rsidRPr="00F67102" w:rsidRDefault="009C6BB2" w:rsidP="00EC2F2D">
            <w:pPr>
              <w:jc w:val="left"/>
              <w:rPr>
                <w:color w:val="000000" w:themeColor="text1"/>
                <w:szCs w:val="24"/>
              </w:rPr>
            </w:pPr>
            <w:r w:rsidRPr="00F67102">
              <w:rPr>
                <w:color w:val="000000" w:themeColor="text1"/>
                <w:szCs w:val="24"/>
              </w:rPr>
              <w:t>Major kanama</w:t>
            </w:r>
          </w:p>
        </w:tc>
        <w:tc>
          <w:tcPr>
            <w:tcW w:w="2165"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1.8(1)</w:t>
            </w:r>
          </w:p>
        </w:tc>
        <w:tc>
          <w:tcPr>
            <w:tcW w:w="2747"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0.4 (1)</w:t>
            </w:r>
          </w:p>
        </w:tc>
        <w:tc>
          <w:tcPr>
            <w:tcW w:w="1289"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0.319</w:t>
            </w:r>
          </w:p>
        </w:tc>
      </w:tr>
      <w:tr w:rsidR="009C6BB2" w:rsidRPr="00F67102" w:rsidTr="00EC2F2D">
        <w:tc>
          <w:tcPr>
            <w:tcW w:w="2802" w:type="dxa"/>
            <w:gridSpan w:val="2"/>
            <w:tcBorders>
              <w:top w:val="nil"/>
              <w:left w:val="nil"/>
              <w:bottom w:val="nil"/>
              <w:right w:val="nil"/>
            </w:tcBorders>
          </w:tcPr>
          <w:p w:rsidR="009C6BB2" w:rsidRPr="00F67102" w:rsidRDefault="009C6BB2" w:rsidP="00EC2F2D">
            <w:pPr>
              <w:jc w:val="left"/>
              <w:rPr>
                <w:color w:val="000000" w:themeColor="text1"/>
                <w:szCs w:val="24"/>
              </w:rPr>
            </w:pPr>
            <w:r w:rsidRPr="00F67102">
              <w:rPr>
                <w:color w:val="000000" w:themeColor="text1"/>
                <w:szCs w:val="24"/>
              </w:rPr>
              <w:t>Hastanede SVO</w:t>
            </w:r>
          </w:p>
        </w:tc>
        <w:tc>
          <w:tcPr>
            <w:tcW w:w="2165"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3.6 (2)</w:t>
            </w:r>
          </w:p>
        </w:tc>
        <w:tc>
          <w:tcPr>
            <w:tcW w:w="2747"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0 (0)</w:t>
            </w:r>
          </w:p>
        </w:tc>
        <w:tc>
          <w:tcPr>
            <w:tcW w:w="1289" w:type="dxa"/>
            <w:tcBorders>
              <w:top w:val="nil"/>
              <w:left w:val="nil"/>
              <w:bottom w:val="nil"/>
              <w:right w:val="nil"/>
            </w:tcBorders>
          </w:tcPr>
          <w:p w:rsidR="009C6BB2" w:rsidRPr="00F67102" w:rsidRDefault="009C6BB2" w:rsidP="009C6BB2">
            <w:pPr>
              <w:rPr>
                <w:b/>
                <w:color w:val="000000" w:themeColor="text1"/>
                <w:szCs w:val="24"/>
              </w:rPr>
            </w:pPr>
            <w:r w:rsidRPr="00F67102">
              <w:rPr>
                <w:b/>
                <w:color w:val="000000" w:themeColor="text1"/>
                <w:szCs w:val="24"/>
              </w:rPr>
              <w:t>0.030*</w:t>
            </w:r>
          </w:p>
        </w:tc>
      </w:tr>
      <w:tr w:rsidR="009C6BB2" w:rsidRPr="00F67102" w:rsidTr="00EC2F2D">
        <w:tc>
          <w:tcPr>
            <w:tcW w:w="2802" w:type="dxa"/>
            <w:gridSpan w:val="2"/>
            <w:tcBorders>
              <w:top w:val="nil"/>
              <w:left w:val="nil"/>
              <w:bottom w:val="nil"/>
              <w:right w:val="nil"/>
            </w:tcBorders>
          </w:tcPr>
          <w:p w:rsidR="009C6BB2" w:rsidRPr="00F67102" w:rsidRDefault="009C6BB2" w:rsidP="00EC2F2D">
            <w:pPr>
              <w:jc w:val="left"/>
              <w:rPr>
                <w:color w:val="000000" w:themeColor="text1"/>
                <w:szCs w:val="24"/>
              </w:rPr>
            </w:pPr>
            <w:r w:rsidRPr="00F67102">
              <w:rPr>
                <w:color w:val="000000" w:themeColor="text1"/>
                <w:szCs w:val="24"/>
              </w:rPr>
              <w:t>Evde ACEi-ARB</w:t>
            </w:r>
          </w:p>
        </w:tc>
        <w:tc>
          <w:tcPr>
            <w:tcW w:w="2165"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33.9(19)</w:t>
            </w:r>
          </w:p>
        </w:tc>
        <w:tc>
          <w:tcPr>
            <w:tcW w:w="2747"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33.2 (88)</w:t>
            </w:r>
          </w:p>
        </w:tc>
        <w:tc>
          <w:tcPr>
            <w:tcW w:w="1289"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1.000</w:t>
            </w:r>
          </w:p>
        </w:tc>
      </w:tr>
      <w:tr w:rsidR="009C6BB2" w:rsidRPr="00F67102" w:rsidTr="00EC2F2D">
        <w:tc>
          <w:tcPr>
            <w:tcW w:w="2802" w:type="dxa"/>
            <w:gridSpan w:val="2"/>
            <w:tcBorders>
              <w:top w:val="nil"/>
              <w:left w:val="nil"/>
              <w:bottom w:val="nil"/>
              <w:right w:val="nil"/>
            </w:tcBorders>
          </w:tcPr>
          <w:p w:rsidR="009C6BB2" w:rsidRPr="00F67102" w:rsidRDefault="009C6BB2" w:rsidP="00EC2F2D">
            <w:pPr>
              <w:jc w:val="left"/>
              <w:rPr>
                <w:color w:val="000000" w:themeColor="text1"/>
                <w:szCs w:val="24"/>
              </w:rPr>
            </w:pPr>
            <w:r w:rsidRPr="00F67102">
              <w:rPr>
                <w:color w:val="000000" w:themeColor="text1"/>
                <w:szCs w:val="24"/>
              </w:rPr>
              <w:t>Hastanede ACEi-ARB</w:t>
            </w:r>
          </w:p>
        </w:tc>
        <w:tc>
          <w:tcPr>
            <w:tcW w:w="2165"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42.9(24)</w:t>
            </w:r>
          </w:p>
        </w:tc>
        <w:tc>
          <w:tcPr>
            <w:tcW w:w="2747"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64.5(171)</w:t>
            </w:r>
          </w:p>
        </w:tc>
        <w:tc>
          <w:tcPr>
            <w:tcW w:w="1289" w:type="dxa"/>
            <w:tcBorders>
              <w:top w:val="nil"/>
              <w:left w:val="nil"/>
              <w:bottom w:val="nil"/>
              <w:right w:val="nil"/>
            </w:tcBorders>
          </w:tcPr>
          <w:p w:rsidR="009C6BB2" w:rsidRPr="00F67102" w:rsidRDefault="009C6BB2" w:rsidP="009C6BB2">
            <w:pPr>
              <w:rPr>
                <w:b/>
                <w:color w:val="000000" w:themeColor="text1"/>
                <w:szCs w:val="24"/>
              </w:rPr>
            </w:pPr>
            <w:r w:rsidRPr="00F67102">
              <w:rPr>
                <w:b/>
                <w:color w:val="000000" w:themeColor="text1"/>
                <w:szCs w:val="24"/>
              </w:rPr>
              <w:t>0.004*</w:t>
            </w:r>
          </w:p>
        </w:tc>
      </w:tr>
      <w:tr w:rsidR="009C6BB2" w:rsidRPr="00F67102" w:rsidTr="00EC2F2D">
        <w:tc>
          <w:tcPr>
            <w:tcW w:w="2802" w:type="dxa"/>
            <w:gridSpan w:val="2"/>
            <w:tcBorders>
              <w:top w:val="nil"/>
              <w:left w:val="nil"/>
              <w:bottom w:val="nil"/>
              <w:right w:val="nil"/>
            </w:tcBorders>
          </w:tcPr>
          <w:p w:rsidR="009C6BB2" w:rsidRPr="00F67102" w:rsidRDefault="009C6BB2" w:rsidP="00EC2F2D">
            <w:pPr>
              <w:jc w:val="left"/>
              <w:rPr>
                <w:color w:val="000000" w:themeColor="text1"/>
                <w:szCs w:val="24"/>
              </w:rPr>
            </w:pPr>
            <w:r w:rsidRPr="00F67102">
              <w:rPr>
                <w:color w:val="000000" w:themeColor="text1"/>
                <w:szCs w:val="24"/>
              </w:rPr>
              <w:t>Evde Spironalakton</w:t>
            </w:r>
          </w:p>
        </w:tc>
        <w:tc>
          <w:tcPr>
            <w:tcW w:w="2165"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5.4 (3)</w:t>
            </w:r>
          </w:p>
        </w:tc>
        <w:tc>
          <w:tcPr>
            <w:tcW w:w="2747"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2.3 (6)</w:t>
            </w:r>
          </w:p>
        </w:tc>
        <w:tc>
          <w:tcPr>
            <w:tcW w:w="1289"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0.195</w:t>
            </w:r>
          </w:p>
        </w:tc>
      </w:tr>
      <w:tr w:rsidR="009C6BB2" w:rsidRPr="00F67102" w:rsidTr="00EC2F2D">
        <w:tc>
          <w:tcPr>
            <w:tcW w:w="2802" w:type="dxa"/>
            <w:gridSpan w:val="2"/>
            <w:tcBorders>
              <w:top w:val="nil"/>
              <w:left w:val="nil"/>
              <w:bottom w:val="nil"/>
              <w:right w:val="nil"/>
            </w:tcBorders>
          </w:tcPr>
          <w:p w:rsidR="009C6BB2" w:rsidRPr="00F67102" w:rsidRDefault="009C6BB2" w:rsidP="00EC2F2D">
            <w:pPr>
              <w:jc w:val="left"/>
              <w:rPr>
                <w:color w:val="000000" w:themeColor="text1"/>
                <w:szCs w:val="24"/>
              </w:rPr>
            </w:pPr>
            <w:r w:rsidRPr="00F67102">
              <w:rPr>
                <w:color w:val="000000" w:themeColor="text1"/>
                <w:szCs w:val="24"/>
              </w:rPr>
              <w:t>Hastanede Spironalakton</w:t>
            </w:r>
          </w:p>
        </w:tc>
        <w:tc>
          <w:tcPr>
            <w:tcW w:w="2165"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5.4 (3)</w:t>
            </w:r>
          </w:p>
        </w:tc>
        <w:tc>
          <w:tcPr>
            <w:tcW w:w="2747"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3.8 (10)</w:t>
            </w:r>
          </w:p>
        </w:tc>
        <w:tc>
          <w:tcPr>
            <w:tcW w:w="1289"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0.707</w:t>
            </w:r>
          </w:p>
        </w:tc>
      </w:tr>
      <w:tr w:rsidR="009C6BB2" w:rsidRPr="00F67102" w:rsidTr="00EC2F2D">
        <w:tc>
          <w:tcPr>
            <w:tcW w:w="2802" w:type="dxa"/>
            <w:gridSpan w:val="2"/>
            <w:tcBorders>
              <w:top w:val="nil"/>
              <w:left w:val="nil"/>
              <w:bottom w:val="nil"/>
              <w:right w:val="nil"/>
            </w:tcBorders>
          </w:tcPr>
          <w:p w:rsidR="009C6BB2" w:rsidRPr="00F67102" w:rsidRDefault="009C6BB2" w:rsidP="00EC2F2D">
            <w:pPr>
              <w:jc w:val="left"/>
              <w:rPr>
                <w:color w:val="000000" w:themeColor="text1"/>
                <w:szCs w:val="24"/>
              </w:rPr>
            </w:pPr>
            <w:r w:rsidRPr="00F67102">
              <w:rPr>
                <w:color w:val="000000" w:themeColor="text1"/>
                <w:szCs w:val="24"/>
              </w:rPr>
              <w:t>Evde Furosemid</w:t>
            </w:r>
          </w:p>
        </w:tc>
        <w:tc>
          <w:tcPr>
            <w:tcW w:w="2165"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21.4 (12)</w:t>
            </w:r>
          </w:p>
        </w:tc>
        <w:tc>
          <w:tcPr>
            <w:tcW w:w="2747"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6.8 (18)</w:t>
            </w:r>
          </w:p>
        </w:tc>
        <w:tc>
          <w:tcPr>
            <w:tcW w:w="1289" w:type="dxa"/>
            <w:tcBorders>
              <w:top w:val="nil"/>
              <w:left w:val="nil"/>
              <w:bottom w:val="nil"/>
              <w:right w:val="nil"/>
            </w:tcBorders>
          </w:tcPr>
          <w:p w:rsidR="009C6BB2" w:rsidRPr="00F67102" w:rsidRDefault="009C6BB2" w:rsidP="009C6BB2">
            <w:pPr>
              <w:rPr>
                <w:b/>
                <w:color w:val="000000" w:themeColor="text1"/>
                <w:szCs w:val="24"/>
              </w:rPr>
            </w:pPr>
            <w:r w:rsidRPr="00F67102">
              <w:rPr>
                <w:b/>
                <w:color w:val="000000" w:themeColor="text1"/>
                <w:szCs w:val="24"/>
              </w:rPr>
              <w:t>0.002*</w:t>
            </w:r>
          </w:p>
        </w:tc>
      </w:tr>
      <w:tr w:rsidR="009C6BB2" w:rsidRPr="00F67102" w:rsidTr="00EC2F2D">
        <w:tc>
          <w:tcPr>
            <w:tcW w:w="2802" w:type="dxa"/>
            <w:gridSpan w:val="2"/>
            <w:tcBorders>
              <w:top w:val="nil"/>
              <w:left w:val="nil"/>
              <w:bottom w:val="nil"/>
              <w:right w:val="nil"/>
            </w:tcBorders>
          </w:tcPr>
          <w:p w:rsidR="009C6BB2" w:rsidRPr="00F67102" w:rsidRDefault="009C6BB2" w:rsidP="00EC2F2D">
            <w:pPr>
              <w:jc w:val="left"/>
              <w:rPr>
                <w:color w:val="000000" w:themeColor="text1"/>
                <w:szCs w:val="24"/>
              </w:rPr>
            </w:pPr>
            <w:r w:rsidRPr="00F67102">
              <w:rPr>
                <w:color w:val="000000" w:themeColor="text1"/>
                <w:szCs w:val="24"/>
              </w:rPr>
              <w:t>Hastanede Furosemid</w:t>
            </w:r>
          </w:p>
        </w:tc>
        <w:tc>
          <w:tcPr>
            <w:tcW w:w="2165"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48.2 (27)</w:t>
            </w:r>
          </w:p>
        </w:tc>
        <w:tc>
          <w:tcPr>
            <w:tcW w:w="2747"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11.7 (31)</w:t>
            </w:r>
          </w:p>
        </w:tc>
        <w:tc>
          <w:tcPr>
            <w:tcW w:w="1289" w:type="dxa"/>
            <w:tcBorders>
              <w:top w:val="nil"/>
              <w:left w:val="nil"/>
              <w:bottom w:val="nil"/>
              <w:right w:val="nil"/>
            </w:tcBorders>
          </w:tcPr>
          <w:p w:rsidR="009C6BB2" w:rsidRPr="00F67102" w:rsidRDefault="009C6BB2" w:rsidP="009C6BB2">
            <w:pPr>
              <w:rPr>
                <w:b/>
                <w:color w:val="000000" w:themeColor="text1"/>
                <w:szCs w:val="24"/>
              </w:rPr>
            </w:pPr>
            <w:r w:rsidRPr="00F67102">
              <w:rPr>
                <w:b/>
                <w:color w:val="000000" w:themeColor="text1"/>
                <w:szCs w:val="24"/>
              </w:rPr>
              <w:t>&lt;0.001*</w:t>
            </w:r>
          </w:p>
        </w:tc>
      </w:tr>
      <w:tr w:rsidR="009C6BB2" w:rsidRPr="00F67102" w:rsidTr="00EC2F2D">
        <w:tc>
          <w:tcPr>
            <w:tcW w:w="2802" w:type="dxa"/>
            <w:gridSpan w:val="2"/>
            <w:tcBorders>
              <w:top w:val="nil"/>
              <w:left w:val="nil"/>
              <w:bottom w:val="nil"/>
              <w:right w:val="nil"/>
            </w:tcBorders>
          </w:tcPr>
          <w:p w:rsidR="009C6BB2" w:rsidRPr="00F67102" w:rsidRDefault="009C6BB2" w:rsidP="00EC2F2D">
            <w:pPr>
              <w:jc w:val="left"/>
              <w:rPr>
                <w:color w:val="000000" w:themeColor="text1"/>
                <w:szCs w:val="24"/>
              </w:rPr>
            </w:pPr>
            <w:r w:rsidRPr="00F67102">
              <w:rPr>
                <w:color w:val="000000" w:themeColor="text1"/>
                <w:szCs w:val="24"/>
              </w:rPr>
              <w:lastRenderedPageBreak/>
              <w:t>Evde Statin</w:t>
            </w:r>
          </w:p>
        </w:tc>
        <w:tc>
          <w:tcPr>
            <w:tcW w:w="2165"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26.8 (15)</w:t>
            </w:r>
          </w:p>
        </w:tc>
        <w:tc>
          <w:tcPr>
            <w:tcW w:w="2747"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%27.5 (73)</w:t>
            </w:r>
          </w:p>
        </w:tc>
        <w:tc>
          <w:tcPr>
            <w:tcW w:w="1289"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1.000</w:t>
            </w:r>
          </w:p>
        </w:tc>
      </w:tr>
      <w:tr w:rsidR="009C6BB2" w:rsidRPr="00F67102" w:rsidTr="00EC2F2D">
        <w:tc>
          <w:tcPr>
            <w:tcW w:w="2802" w:type="dxa"/>
            <w:gridSpan w:val="2"/>
            <w:tcBorders>
              <w:top w:val="nil"/>
              <w:left w:val="nil"/>
              <w:bottom w:val="nil"/>
              <w:right w:val="nil"/>
            </w:tcBorders>
          </w:tcPr>
          <w:p w:rsidR="009C6BB2" w:rsidRPr="00F67102" w:rsidRDefault="009C6BB2" w:rsidP="00EC2F2D">
            <w:pPr>
              <w:jc w:val="left"/>
              <w:rPr>
                <w:color w:val="000000" w:themeColor="text1"/>
                <w:szCs w:val="24"/>
              </w:rPr>
            </w:pPr>
            <w:r w:rsidRPr="00F67102">
              <w:rPr>
                <w:color w:val="000000" w:themeColor="text1"/>
                <w:szCs w:val="24"/>
              </w:rPr>
              <w:t>Hastanede Statin</w:t>
            </w:r>
          </w:p>
        </w:tc>
        <w:tc>
          <w:tcPr>
            <w:tcW w:w="2165"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91.1 (51)</w:t>
            </w:r>
          </w:p>
        </w:tc>
        <w:tc>
          <w:tcPr>
            <w:tcW w:w="2747"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%92.8 (246)</w:t>
            </w:r>
          </w:p>
        </w:tc>
        <w:tc>
          <w:tcPr>
            <w:tcW w:w="1289"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0.585</w:t>
            </w:r>
          </w:p>
        </w:tc>
      </w:tr>
      <w:tr w:rsidR="009C6BB2" w:rsidRPr="00F67102" w:rsidTr="00EC2F2D">
        <w:tc>
          <w:tcPr>
            <w:tcW w:w="2802" w:type="dxa"/>
            <w:gridSpan w:val="2"/>
            <w:tcBorders>
              <w:top w:val="nil"/>
              <w:left w:val="nil"/>
              <w:bottom w:val="nil"/>
              <w:right w:val="nil"/>
            </w:tcBorders>
          </w:tcPr>
          <w:p w:rsidR="009C6BB2" w:rsidRPr="00F67102" w:rsidRDefault="009C6BB2" w:rsidP="00EC2F2D">
            <w:pPr>
              <w:jc w:val="left"/>
              <w:rPr>
                <w:color w:val="000000" w:themeColor="text1"/>
                <w:szCs w:val="24"/>
              </w:rPr>
            </w:pPr>
            <w:r w:rsidRPr="00F67102">
              <w:rPr>
                <w:color w:val="000000" w:themeColor="text1"/>
                <w:szCs w:val="24"/>
              </w:rPr>
              <w:t>Evde Asetilsalisilik Asit</w:t>
            </w:r>
          </w:p>
        </w:tc>
        <w:tc>
          <w:tcPr>
            <w:tcW w:w="2165"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51.8 (29)</w:t>
            </w:r>
          </w:p>
        </w:tc>
        <w:tc>
          <w:tcPr>
            <w:tcW w:w="2747"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%47.5 (126)</w:t>
            </w:r>
          </w:p>
        </w:tc>
        <w:tc>
          <w:tcPr>
            <w:tcW w:w="1289"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0.659</w:t>
            </w:r>
          </w:p>
        </w:tc>
      </w:tr>
      <w:tr w:rsidR="009C6BB2" w:rsidRPr="00F67102" w:rsidTr="00EC2F2D">
        <w:tc>
          <w:tcPr>
            <w:tcW w:w="2802" w:type="dxa"/>
            <w:gridSpan w:val="2"/>
            <w:tcBorders>
              <w:top w:val="nil"/>
              <w:left w:val="nil"/>
              <w:bottom w:val="nil"/>
              <w:right w:val="nil"/>
            </w:tcBorders>
          </w:tcPr>
          <w:p w:rsidR="009C6BB2" w:rsidRPr="00F67102" w:rsidRDefault="009C6BB2" w:rsidP="00EC2F2D">
            <w:pPr>
              <w:jc w:val="left"/>
              <w:rPr>
                <w:color w:val="000000" w:themeColor="text1"/>
                <w:szCs w:val="24"/>
              </w:rPr>
            </w:pPr>
            <w:r w:rsidRPr="00F67102">
              <w:rPr>
                <w:color w:val="000000" w:themeColor="text1"/>
                <w:szCs w:val="24"/>
              </w:rPr>
              <w:t>Hastanede Asetilsalisilik Asit</w:t>
            </w:r>
          </w:p>
        </w:tc>
        <w:tc>
          <w:tcPr>
            <w:tcW w:w="2165"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98.2(55)</w:t>
            </w:r>
          </w:p>
        </w:tc>
        <w:tc>
          <w:tcPr>
            <w:tcW w:w="2747"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%99.6 (264)</w:t>
            </w:r>
          </w:p>
        </w:tc>
        <w:tc>
          <w:tcPr>
            <w:tcW w:w="1289"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0.319</w:t>
            </w:r>
          </w:p>
        </w:tc>
      </w:tr>
      <w:tr w:rsidR="009C6BB2" w:rsidRPr="00F67102" w:rsidTr="00EC2F2D">
        <w:tc>
          <w:tcPr>
            <w:tcW w:w="2802" w:type="dxa"/>
            <w:gridSpan w:val="2"/>
            <w:tcBorders>
              <w:top w:val="nil"/>
              <w:left w:val="nil"/>
              <w:bottom w:val="nil"/>
              <w:right w:val="nil"/>
            </w:tcBorders>
          </w:tcPr>
          <w:p w:rsidR="009C6BB2" w:rsidRPr="00F67102" w:rsidRDefault="009C6BB2" w:rsidP="00EC2F2D">
            <w:pPr>
              <w:jc w:val="left"/>
              <w:rPr>
                <w:color w:val="000000" w:themeColor="text1"/>
                <w:szCs w:val="24"/>
              </w:rPr>
            </w:pPr>
            <w:r w:rsidRPr="00F67102">
              <w:rPr>
                <w:color w:val="000000" w:themeColor="text1"/>
                <w:szCs w:val="24"/>
              </w:rPr>
              <w:t>Evde Klopidogrel</w:t>
            </w:r>
          </w:p>
        </w:tc>
        <w:tc>
          <w:tcPr>
            <w:tcW w:w="2165"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19.6 (11)</w:t>
            </w:r>
          </w:p>
        </w:tc>
        <w:tc>
          <w:tcPr>
            <w:tcW w:w="2747"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14 (37)</w:t>
            </w:r>
          </w:p>
        </w:tc>
        <w:tc>
          <w:tcPr>
            <w:tcW w:w="1289"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0.303</w:t>
            </w:r>
          </w:p>
        </w:tc>
      </w:tr>
      <w:tr w:rsidR="009C6BB2" w:rsidRPr="00F67102" w:rsidTr="00EC2F2D">
        <w:tc>
          <w:tcPr>
            <w:tcW w:w="2802" w:type="dxa"/>
            <w:gridSpan w:val="2"/>
            <w:tcBorders>
              <w:top w:val="nil"/>
              <w:left w:val="nil"/>
              <w:bottom w:val="nil"/>
              <w:right w:val="nil"/>
            </w:tcBorders>
          </w:tcPr>
          <w:p w:rsidR="009C6BB2" w:rsidRPr="00F67102" w:rsidRDefault="009C6BB2" w:rsidP="00EC2F2D">
            <w:pPr>
              <w:jc w:val="left"/>
              <w:rPr>
                <w:color w:val="000000" w:themeColor="text1"/>
                <w:szCs w:val="24"/>
              </w:rPr>
            </w:pPr>
            <w:r w:rsidRPr="00F67102">
              <w:rPr>
                <w:color w:val="000000" w:themeColor="text1"/>
                <w:szCs w:val="24"/>
              </w:rPr>
              <w:t>Hastanede Klopidogrel</w:t>
            </w:r>
          </w:p>
        </w:tc>
        <w:tc>
          <w:tcPr>
            <w:tcW w:w="2165"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69.6 (39)</w:t>
            </w:r>
          </w:p>
        </w:tc>
        <w:tc>
          <w:tcPr>
            <w:tcW w:w="2747"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 71.7 (190)</w:t>
            </w:r>
          </w:p>
        </w:tc>
        <w:tc>
          <w:tcPr>
            <w:tcW w:w="1289"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0.747</w:t>
            </w:r>
          </w:p>
        </w:tc>
      </w:tr>
      <w:tr w:rsidR="009C6BB2" w:rsidRPr="00F67102" w:rsidTr="00EC2F2D">
        <w:tc>
          <w:tcPr>
            <w:tcW w:w="2802" w:type="dxa"/>
            <w:gridSpan w:val="2"/>
            <w:tcBorders>
              <w:top w:val="nil"/>
              <w:left w:val="nil"/>
              <w:bottom w:val="nil"/>
              <w:right w:val="nil"/>
            </w:tcBorders>
          </w:tcPr>
          <w:p w:rsidR="009C6BB2" w:rsidRPr="00F67102" w:rsidRDefault="009C6BB2" w:rsidP="00EC2F2D">
            <w:pPr>
              <w:jc w:val="left"/>
              <w:rPr>
                <w:color w:val="000000" w:themeColor="text1"/>
                <w:szCs w:val="24"/>
              </w:rPr>
            </w:pPr>
            <w:r w:rsidRPr="00F67102">
              <w:rPr>
                <w:color w:val="000000" w:themeColor="text1"/>
                <w:szCs w:val="24"/>
              </w:rPr>
              <w:t xml:space="preserve">PAB(mmHg) </w:t>
            </w:r>
            <w:r w:rsidRPr="00F67102">
              <w:rPr>
                <w:color w:val="000000" w:themeColor="text1"/>
                <w:szCs w:val="24"/>
                <w:vertAlign w:val="superscript"/>
              </w:rPr>
              <w:t>β</w:t>
            </w:r>
          </w:p>
        </w:tc>
        <w:tc>
          <w:tcPr>
            <w:tcW w:w="2165"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30 (15-80)</w:t>
            </w:r>
          </w:p>
        </w:tc>
        <w:tc>
          <w:tcPr>
            <w:tcW w:w="2747"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25 (15-75)</w:t>
            </w:r>
          </w:p>
        </w:tc>
        <w:tc>
          <w:tcPr>
            <w:tcW w:w="1289" w:type="dxa"/>
            <w:tcBorders>
              <w:top w:val="nil"/>
              <w:left w:val="nil"/>
              <w:bottom w:val="nil"/>
              <w:right w:val="nil"/>
            </w:tcBorders>
          </w:tcPr>
          <w:p w:rsidR="009C6BB2" w:rsidRPr="00F67102" w:rsidRDefault="009C6BB2" w:rsidP="009C6BB2">
            <w:pPr>
              <w:rPr>
                <w:b/>
                <w:color w:val="000000" w:themeColor="text1"/>
                <w:szCs w:val="24"/>
              </w:rPr>
            </w:pPr>
            <w:r w:rsidRPr="00F67102">
              <w:rPr>
                <w:b/>
                <w:color w:val="000000" w:themeColor="text1"/>
                <w:szCs w:val="24"/>
              </w:rPr>
              <w:t>0.002*</w:t>
            </w:r>
          </w:p>
        </w:tc>
      </w:tr>
      <w:tr w:rsidR="009C6BB2" w:rsidRPr="00F67102" w:rsidTr="00EC2F2D">
        <w:tc>
          <w:tcPr>
            <w:tcW w:w="2802" w:type="dxa"/>
            <w:gridSpan w:val="2"/>
            <w:tcBorders>
              <w:top w:val="nil"/>
              <w:left w:val="nil"/>
              <w:bottom w:val="nil"/>
              <w:right w:val="nil"/>
            </w:tcBorders>
          </w:tcPr>
          <w:p w:rsidR="009C6BB2" w:rsidRPr="00F67102" w:rsidRDefault="009C6BB2" w:rsidP="00EC2F2D">
            <w:pPr>
              <w:jc w:val="left"/>
              <w:rPr>
                <w:color w:val="000000" w:themeColor="text1"/>
                <w:szCs w:val="24"/>
              </w:rPr>
            </w:pPr>
            <w:r w:rsidRPr="00F67102">
              <w:rPr>
                <w:color w:val="000000" w:themeColor="text1"/>
                <w:szCs w:val="24"/>
              </w:rPr>
              <w:t>EF(%)</w:t>
            </w:r>
            <w:r w:rsidRPr="00F67102">
              <w:rPr>
                <w:color w:val="000000" w:themeColor="text1"/>
                <w:szCs w:val="24"/>
                <w:vertAlign w:val="superscript"/>
              </w:rPr>
              <w:t>β</w:t>
            </w:r>
          </w:p>
        </w:tc>
        <w:tc>
          <w:tcPr>
            <w:tcW w:w="2165"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45 (10-63)</w:t>
            </w:r>
          </w:p>
        </w:tc>
        <w:tc>
          <w:tcPr>
            <w:tcW w:w="2747"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50 (10-70)</w:t>
            </w:r>
          </w:p>
        </w:tc>
        <w:tc>
          <w:tcPr>
            <w:tcW w:w="1289" w:type="dxa"/>
            <w:tcBorders>
              <w:top w:val="nil"/>
              <w:left w:val="nil"/>
              <w:bottom w:val="nil"/>
              <w:right w:val="nil"/>
            </w:tcBorders>
          </w:tcPr>
          <w:p w:rsidR="009C6BB2" w:rsidRPr="00F67102" w:rsidRDefault="009C6BB2" w:rsidP="009C6BB2">
            <w:pPr>
              <w:rPr>
                <w:b/>
                <w:color w:val="000000" w:themeColor="text1"/>
                <w:szCs w:val="24"/>
              </w:rPr>
            </w:pPr>
            <w:r w:rsidRPr="00F67102">
              <w:rPr>
                <w:b/>
                <w:color w:val="000000" w:themeColor="text1"/>
                <w:szCs w:val="24"/>
              </w:rPr>
              <w:t>0.038*</w:t>
            </w:r>
          </w:p>
        </w:tc>
      </w:tr>
      <w:tr w:rsidR="009C6BB2" w:rsidRPr="00F67102" w:rsidTr="00EC2F2D">
        <w:tc>
          <w:tcPr>
            <w:tcW w:w="2802" w:type="dxa"/>
            <w:gridSpan w:val="2"/>
            <w:tcBorders>
              <w:top w:val="nil"/>
              <w:left w:val="nil"/>
              <w:bottom w:val="nil"/>
              <w:right w:val="nil"/>
            </w:tcBorders>
          </w:tcPr>
          <w:p w:rsidR="009C6BB2" w:rsidRPr="00F67102" w:rsidRDefault="009C6BB2" w:rsidP="00EC2F2D">
            <w:pPr>
              <w:jc w:val="left"/>
              <w:rPr>
                <w:color w:val="000000" w:themeColor="text1"/>
                <w:szCs w:val="24"/>
              </w:rPr>
            </w:pPr>
            <w:r w:rsidRPr="00F67102">
              <w:rPr>
                <w:color w:val="000000" w:themeColor="text1"/>
                <w:szCs w:val="24"/>
              </w:rPr>
              <w:t xml:space="preserve">Total kolesterol(mg/dL) </w:t>
            </w:r>
            <w:r w:rsidRPr="00F67102">
              <w:rPr>
                <w:color w:val="000000" w:themeColor="text1"/>
                <w:szCs w:val="24"/>
                <w:vertAlign w:val="superscript"/>
              </w:rPr>
              <w:t>β</w:t>
            </w:r>
          </w:p>
        </w:tc>
        <w:tc>
          <w:tcPr>
            <w:tcW w:w="2165"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185 (110-319)</w:t>
            </w:r>
          </w:p>
        </w:tc>
        <w:tc>
          <w:tcPr>
            <w:tcW w:w="2747"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175 (49-337)</w:t>
            </w:r>
          </w:p>
        </w:tc>
        <w:tc>
          <w:tcPr>
            <w:tcW w:w="1289"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0.114</w:t>
            </w:r>
          </w:p>
        </w:tc>
      </w:tr>
      <w:tr w:rsidR="009C6BB2" w:rsidRPr="00F67102" w:rsidTr="00EC2F2D">
        <w:tc>
          <w:tcPr>
            <w:tcW w:w="2802" w:type="dxa"/>
            <w:gridSpan w:val="2"/>
            <w:tcBorders>
              <w:top w:val="nil"/>
              <w:left w:val="nil"/>
              <w:bottom w:val="nil"/>
              <w:right w:val="nil"/>
            </w:tcBorders>
          </w:tcPr>
          <w:p w:rsidR="009C6BB2" w:rsidRPr="00F67102" w:rsidRDefault="009C6BB2" w:rsidP="00EC2F2D">
            <w:pPr>
              <w:jc w:val="left"/>
              <w:rPr>
                <w:color w:val="000000" w:themeColor="text1"/>
                <w:szCs w:val="24"/>
              </w:rPr>
            </w:pPr>
            <w:r w:rsidRPr="00F67102">
              <w:rPr>
                <w:color w:val="000000" w:themeColor="text1"/>
                <w:szCs w:val="24"/>
              </w:rPr>
              <w:t xml:space="preserve">LDL(mg/dL) </w:t>
            </w:r>
            <w:r w:rsidRPr="00F67102">
              <w:rPr>
                <w:color w:val="000000" w:themeColor="text1"/>
                <w:szCs w:val="24"/>
                <w:vertAlign w:val="superscript"/>
              </w:rPr>
              <w:t>β</w:t>
            </w:r>
          </w:p>
        </w:tc>
        <w:tc>
          <w:tcPr>
            <w:tcW w:w="2165"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118 (58-253)</w:t>
            </w:r>
          </w:p>
        </w:tc>
        <w:tc>
          <w:tcPr>
            <w:tcW w:w="2747"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107 (24-263)</w:t>
            </w:r>
          </w:p>
        </w:tc>
        <w:tc>
          <w:tcPr>
            <w:tcW w:w="1289" w:type="dxa"/>
            <w:tcBorders>
              <w:top w:val="nil"/>
              <w:left w:val="nil"/>
              <w:bottom w:val="nil"/>
              <w:right w:val="nil"/>
            </w:tcBorders>
          </w:tcPr>
          <w:p w:rsidR="009C6BB2" w:rsidRPr="00F67102" w:rsidRDefault="009C6BB2" w:rsidP="009C6BB2">
            <w:pPr>
              <w:rPr>
                <w:b/>
                <w:color w:val="000000" w:themeColor="text1"/>
                <w:szCs w:val="24"/>
              </w:rPr>
            </w:pPr>
            <w:r w:rsidRPr="00F67102">
              <w:rPr>
                <w:b/>
                <w:color w:val="000000" w:themeColor="text1"/>
                <w:szCs w:val="24"/>
              </w:rPr>
              <w:t>0.014*</w:t>
            </w:r>
          </w:p>
        </w:tc>
      </w:tr>
      <w:tr w:rsidR="009C6BB2" w:rsidRPr="00F67102" w:rsidTr="00EC2F2D">
        <w:tc>
          <w:tcPr>
            <w:tcW w:w="2802" w:type="dxa"/>
            <w:gridSpan w:val="2"/>
            <w:tcBorders>
              <w:top w:val="nil"/>
              <w:left w:val="nil"/>
              <w:bottom w:val="nil"/>
              <w:right w:val="nil"/>
            </w:tcBorders>
          </w:tcPr>
          <w:p w:rsidR="009C6BB2" w:rsidRPr="00F67102" w:rsidRDefault="009C6BB2" w:rsidP="00EC2F2D">
            <w:pPr>
              <w:jc w:val="left"/>
              <w:rPr>
                <w:color w:val="000000" w:themeColor="text1"/>
                <w:szCs w:val="24"/>
              </w:rPr>
            </w:pPr>
            <w:r w:rsidRPr="00F67102">
              <w:rPr>
                <w:color w:val="000000" w:themeColor="text1"/>
                <w:szCs w:val="24"/>
              </w:rPr>
              <w:t xml:space="preserve">HDL(mg/dL) </w:t>
            </w:r>
            <w:r w:rsidRPr="00F67102">
              <w:rPr>
                <w:color w:val="000000" w:themeColor="text1"/>
                <w:szCs w:val="24"/>
                <w:vertAlign w:val="superscript"/>
              </w:rPr>
              <w:t>β</w:t>
            </w:r>
          </w:p>
        </w:tc>
        <w:tc>
          <w:tcPr>
            <w:tcW w:w="2165"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35 (22-66)</w:t>
            </w:r>
          </w:p>
        </w:tc>
        <w:tc>
          <w:tcPr>
            <w:tcW w:w="2747"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36 (12-84)</w:t>
            </w:r>
          </w:p>
        </w:tc>
        <w:tc>
          <w:tcPr>
            <w:tcW w:w="1289"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0.711</w:t>
            </w:r>
          </w:p>
        </w:tc>
      </w:tr>
      <w:tr w:rsidR="009C6BB2" w:rsidRPr="00F67102" w:rsidTr="00EC2F2D">
        <w:tc>
          <w:tcPr>
            <w:tcW w:w="2802" w:type="dxa"/>
            <w:gridSpan w:val="2"/>
            <w:tcBorders>
              <w:top w:val="nil"/>
              <w:left w:val="nil"/>
              <w:bottom w:val="nil"/>
              <w:right w:val="nil"/>
            </w:tcBorders>
          </w:tcPr>
          <w:p w:rsidR="009C6BB2" w:rsidRPr="00F67102" w:rsidRDefault="009C6BB2" w:rsidP="00EC2F2D">
            <w:pPr>
              <w:jc w:val="left"/>
              <w:rPr>
                <w:color w:val="000000" w:themeColor="text1"/>
                <w:szCs w:val="24"/>
              </w:rPr>
            </w:pPr>
            <w:r w:rsidRPr="00F67102">
              <w:rPr>
                <w:color w:val="000000" w:themeColor="text1"/>
                <w:szCs w:val="24"/>
              </w:rPr>
              <w:t xml:space="preserve">TSH(uIU/mL) </w:t>
            </w:r>
            <w:r w:rsidRPr="00F67102">
              <w:rPr>
                <w:color w:val="000000" w:themeColor="text1"/>
                <w:szCs w:val="24"/>
                <w:vertAlign w:val="superscript"/>
              </w:rPr>
              <w:t>β</w:t>
            </w:r>
          </w:p>
        </w:tc>
        <w:tc>
          <w:tcPr>
            <w:tcW w:w="2165"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1.52 (0-7.47)</w:t>
            </w:r>
          </w:p>
        </w:tc>
        <w:tc>
          <w:tcPr>
            <w:tcW w:w="2747"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1.09 (0-19)</w:t>
            </w:r>
          </w:p>
        </w:tc>
        <w:tc>
          <w:tcPr>
            <w:tcW w:w="1289"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0.070</w:t>
            </w:r>
          </w:p>
        </w:tc>
      </w:tr>
      <w:tr w:rsidR="009C6BB2" w:rsidRPr="00F67102" w:rsidTr="00EC2F2D">
        <w:tc>
          <w:tcPr>
            <w:tcW w:w="2802" w:type="dxa"/>
            <w:gridSpan w:val="2"/>
            <w:tcBorders>
              <w:top w:val="nil"/>
              <w:left w:val="nil"/>
              <w:bottom w:val="nil"/>
              <w:right w:val="nil"/>
            </w:tcBorders>
          </w:tcPr>
          <w:p w:rsidR="009C6BB2" w:rsidRPr="00F67102" w:rsidRDefault="009C6BB2" w:rsidP="00EC2F2D">
            <w:pPr>
              <w:jc w:val="left"/>
              <w:rPr>
                <w:color w:val="000000" w:themeColor="text1"/>
                <w:szCs w:val="24"/>
              </w:rPr>
            </w:pPr>
            <w:r w:rsidRPr="00F67102">
              <w:rPr>
                <w:color w:val="000000" w:themeColor="text1"/>
                <w:szCs w:val="24"/>
              </w:rPr>
              <w:t xml:space="preserve">Hemoglobin(g/dL) </w:t>
            </w:r>
            <w:r w:rsidRPr="00F67102">
              <w:rPr>
                <w:color w:val="000000" w:themeColor="text1"/>
                <w:szCs w:val="24"/>
                <w:vertAlign w:val="superscript"/>
              </w:rPr>
              <w:t>α</w:t>
            </w:r>
          </w:p>
        </w:tc>
        <w:tc>
          <w:tcPr>
            <w:tcW w:w="2165"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12.9</w:t>
            </w:r>
          </w:p>
        </w:tc>
        <w:tc>
          <w:tcPr>
            <w:tcW w:w="2747"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13.6</w:t>
            </w:r>
          </w:p>
        </w:tc>
        <w:tc>
          <w:tcPr>
            <w:tcW w:w="1289" w:type="dxa"/>
            <w:tcBorders>
              <w:top w:val="nil"/>
              <w:left w:val="nil"/>
              <w:bottom w:val="nil"/>
              <w:right w:val="nil"/>
            </w:tcBorders>
          </w:tcPr>
          <w:p w:rsidR="009C6BB2" w:rsidRPr="00F67102" w:rsidRDefault="009C6BB2" w:rsidP="009C6BB2">
            <w:pPr>
              <w:rPr>
                <w:b/>
                <w:color w:val="000000" w:themeColor="text1"/>
                <w:szCs w:val="24"/>
              </w:rPr>
            </w:pPr>
            <w:r w:rsidRPr="00F67102">
              <w:rPr>
                <w:b/>
                <w:color w:val="000000" w:themeColor="text1"/>
                <w:szCs w:val="24"/>
              </w:rPr>
              <w:t>0.019*</w:t>
            </w:r>
          </w:p>
        </w:tc>
      </w:tr>
      <w:tr w:rsidR="009C6BB2" w:rsidRPr="00F67102" w:rsidTr="00EC2F2D">
        <w:tc>
          <w:tcPr>
            <w:tcW w:w="2802" w:type="dxa"/>
            <w:gridSpan w:val="2"/>
            <w:tcBorders>
              <w:top w:val="nil"/>
              <w:left w:val="nil"/>
              <w:bottom w:val="nil"/>
              <w:right w:val="nil"/>
            </w:tcBorders>
          </w:tcPr>
          <w:p w:rsidR="009C6BB2" w:rsidRPr="00F67102" w:rsidRDefault="009C6BB2" w:rsidP="00EC2F2D">
            <w:pPr>
              <w:jc w:val="left"/>
              <w:rPr>
                <w:color w:val="000000" w:themeColor="text1"/>
                <w:szCs w:val="24"/>
              </w:rPr>
            </w:pPr>
            <w:r w:rsidRPr="00F67102">
              <w:rPr>
                <w:color w:val="000000" w:themeColor="text1"/>
                <w:szCs w:val="24"/>
              </w:rPr>
              <w:t xml:space="preserve">Hastanede yatış süresi(gün) </w:t>
            </w:r>
            <w:r w:rsidRPr="00F67102">
              <w:rPr>
                <w:color w:val="000000" w:themeColor="text1"/>
                <w:szCs w:val="24"/>
                <w:vertAlign w:val="superscript"/>
              </w:rPr>
              <w:t>β</w:t>
            </w:r>
          </w:p>
        </w:tc>
        <w:tc>
          <w:tcPr>
            <w:tcW w:w="2165"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5 (3-25)</w:t>
            </w:r>
          </w:p>
        </w:tc>
        <w:tc>
          <w:tcPr>
            <w:tcW w:w="2747"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4 (3-16)</w:t>
            </w:r>
          </w:p>
        </w:tc>
        <w:tc>
          <w:tcPr>
            <w:tcW w:w="1289" w:type="dxa"/>
            <w:tcBorders>
              <w:top w:val="nil"/>
              <w:left w:val="nil"/>
              <w:bottom w:val="nil"/>
              <w:right w:val="nil"/>
            </w:tcBorders>
          </w:tcPr>
          <w:p w:rsidR="009C6BB2" w:rsidRPr="00F67102" w:rsidRDefault="009C6BB2" w:rsidP="009C6BB2">
            <w:pPr>
              <w:rPr>
                <w:b/>
                <w:color w:val="000000" w:themeColor="text1"/>
                <w:szCs w:val="24"/>
              </w:rPr>
            </w:pPr>
            <w:r w:rsidRPr="00F67102">
              <w:rPr>
                <w:b/>
                <w:color w:val="000000" w:themeColor="text1"/>
                <w:szCs w:val="24"/>
              </w:rPr>
              <w:t>0.001*</w:t>
            </w:r>
          </w:p>
        </w:tc>
      </w:tr>
      <w:tr w:rsidR="009C6BB2" w:rsidRPr="00F67102" w:rsidTr="00EC2F2D">
        <w:tc>
          <w:tcPr>
            <w:tcW w:w="2802" w:type="dxa"/>
            <w:gridSpan w:val="2"/>
            <w:tcBorders>
              <w:top w:val="nil"/>
              <w:left w:val="nil"/>
              <w:right w:val="nil"/>
            </w:tcBorders>
          </w:tcPr>
          <w:p w:rsidR="009C6BB2" w:rsidRPr="00F67102" w:rsidRDefault="009C6BB2" w:rsidP="00EC2F2D">
            <w:pPr>
              <w:jc w:val="left"/>
              <w:rPr>
                <w:color w:val="000000" w:themeColor="text1"/>
                <w:szCs w:val="24"/>
              </w:rPr>
            </w:pPr>
            <w:r w:rsidRPr="00F67102">
              <w:rPr>
                <w:color w:val="000000" w:themeColor="text1"/>
                <w:szCs w:val="24"/>
              </w:rPr>
              <w:t>Hastanede ölüm</w:t>
            </w:r>
          </w:p>
        </w:tc>
        <w:tc>
          <w:tcPr>
            <w:tcW w:w="2165" w:type="dxa"/>
            <w:tcBorders>
              <w:top w:val="nil"/>
              <w:left w:val="nil"/>
              <w:right w:val="nil"/>
            </w:tcBorders>
          </w:tcPr>
          <w:p w:rsidR="009C6BB2" w:rsidRPr="00F67102" w:rsidRDefault="009C6BB2" w:rsidP="009C6BB2">
            <w:pPr>
              <w:rPr>
                <w:color w:val="000000" w:themeColor="text1"/>
                <w:szCs w:val="24"/>
              </w:rPr>
            </w:pPr>
            <w:r w:rsidRPr="00F67102">
              <w:rPr>
                <w:color w:val="000000" w:themeColor="text1"/>
                <w:szCs w:val="24"/>
              </w:rPr>
              <w:t>% 28.6 (16)</w:t>
            </w:r>
          </w:p>
        </w:tc>
        <w:tc>
          <w:tcPr>
            <w:tcW w:w="2747" w:type="dxa"/>
            <w:tcBorders>
              <w:top w:val="nil"/>
              <w:left w:val="nil"/>
              <w:right w:val="nil"/>
            </w:tcBorders>
          </w:tcPr>
          <w:p w:rsidR="009C6BB2" w:rsidRPr="00F67102" w:rsidRDefault="009C6BB2" w:rsidP="009C6BB2">
            <w:pPr>
              <w:rPr>
                <w:color w:val="000000" w:themeColor="text1"/>
                <w:szCs w:val="24"/>
              </w:rPr>
            </w:pPr>
            <w:r w:rsidRPr="00F67102">
              <w:rPr>
                <w:color w:val="000000" w:themeColor="text1"/>
                <w:szCs w:val="24"/>
              </w:rPr>
              <w:t>% 1.1 (3)</w:t>
            </w:r>
          </w:p>
        </w:tc>
        <w:tc>
          <w:tcPr>
            <w:tcW w:w="1289" w:type="dxa"/>
            <w:tcBorders>
              <w:top w:val="nil"/>
              <w:left w:val="nil"/>
              <w:right w:val="nil"/>
            </w:tcBorders>
          </w:tcPr>
          <w:p w:rsidR="009C6BB2" w:rsidRPr="00F67102" w:rsidRDefault="009C6BB2" w:rsidP="009C6BB2">
            <w:pPr>
              <w:rPr>
                <w:b/>
                <w:color w:val="000000" w:themeColor="text1"/>
                <w:szCs w:val="24"/>
              </w:rPr>
            </w:pPr>
            <w:r w:rsidRPr="00F67102">
              <w:rPr>
                <w:b/>
                <w:color w:val="000000" w:themeColor="text1"/>
                <w:szCs w:val="24"/>
              </w:rPr>
              <w:t>&lt;0.001*</w:t>
            </w:r>
          </w:p>
        </w:tc>
      </w:tr>
    </w:tbl>
    <w:p w:rsidR="009C6BB2" w:rsidRPr="00F67102" w:rsidRDefault="009C6BB2" w:rsidP="009C6BB2">
      <w:pPr>
        <w:rPr>
          <w:color w:val="000000" w:themeColor="text1"/>
        </w:rPr>
      </w:pPr>
      <w:r w:rsidRPr="00F67102">
        <w:rPr>
          <w:color w:val="000000" w:themeColor="text1"/>
          <w:vertAlign w:val="superscript"/>
        </w:rPr>
        <w:t xml:space="preserve"> α </w:t>
      </w:r>
      <w:r w:rsidRPr="00EC2F2D">
        <w:rPr>
          <w:color w:val="000000" w:themeColor="text1"/>
          <w:sz w:val="20"/>
        </w:rPr>
        <w:t>=ortalama değeri belirtir,</w:t>
      </w:r>
      <w:r w:rsidRPr="00F67102">
        <w:rPr>
          <w:color w:val="000000" w:themeColor="text1"/>
        </w:rPr>
        <w:t xml:space="preserve"> </w:t>
      </w:r>
      <w:r w:rsidRPr="00F67102">
        <w:rPr>
          <w:color w:val="000000" w:themeColor="text1"/>
          <w:vertAlign w:val="superscript"/>
        </w:rPr>
        <w:t>β</w:t>
      </w:r>
      <w:r w:rsidRPr="00F67102">
        <w:rPr>
          <w:color w:val="000000" w:themeColor="text1"/>
        </w:rPr>
        <w:t xml:space="preserve"> </w:t>
      </w:r>
      <w:r w:rsidRPr="00EC2F2D">
        <w:rPr>
          <w:color w:val="000000" w:themeColor="text1"/>
          <w:sz w:val="20"/>
        </w:rPr>
        <w:t>=ortanca değeri belirtir,</w:t>
      </w:r>
      <w:r w:rsidRPr="00F67102">
        <w:rPr>
          <w:color w:val="000000" w:themeColor="text1"/>
        </w:rPr>
        <w:t xml:space="preserve"> *</w:t>
      </w:r>
      <w:r w:rsidRPr="00EC2F2D">
        <w:rPr>
          <w:color w:val="000000" w:themeColor="text1"/>
          <w:sz w:val="20"/>
        </w:rPr>
        <w:t>=anlamlı olanları belirtir</w:t>
      </w:r>
    </w:p>
    <w:p w:rsidR="009C6BB2" w:rsidRPr="00F67102" w:rsidRDefault="009C6BB2" w:rsidP="009C6BB2">
      <w:pPr>
        <w:rPr>
          <w:color w:val="000000" w:themeColor="text1"/>
        </w:rPr>
      </w:pPr>
    </w:p>
    <w:p w:rsidR="009C6BB2" w:rsidRPr="00F67102" w:rsidRDefault="009C6BB2" w:rsidP="009C6BB2">
      <w:pPr>
        <w:rPr>
          <w:color w:val="000000" w:themeColor="text1"/>
        </w:rPr>
      </w:pPr>
      <w:r>
        <w:rPr>
          <w:color w:val="000000" w:themeColor="text1"/>
        </w:rPr>
        <w:tab/>
      </w:r>
      <w:r w:rsidRPr="00F67102">
        <w:rPr>
          <w:color w:val="000000" w:themeColor="text1"/>
        </w:rPr>
        <w:t>Total ABH hastalarının %62.5</w:t>
      </w:r>
      <w:r w:rsidR="003C59C9">
        <w:rPr>
          <w:color w:val="000000" w:themeColor="text1"/>
        </w:rPr>
        <w:t xml:space="preserve"> </w:t>
      </w:r>
      <w:r w:rsidRPr="00F67102">
        <w:rPr>
          <w:color w:val="000000" w:themeColor="text1"/>
        </w:rPr>
        <w:t>(35)'i erkek ve %37.5</w:t>
      </w:r>
      <w:r w:rsidR="003C59C9">
        <w:rPr>
          <w:color w:val="000000" w:themeColor="text1"/>
        </w:rPr>
        <w:t xml:space="preserve"> </w:t>
      </w:r>
      <w:r w:rsidRPr="00F67102">
        <w:rPr>
          <w:color w:val="000000" w:themeColor="text1"/>
        </w:rPr>
        <w:t>(21)'i kadındır.Total ABH'da kadın hasta oranı ABH olmayanlara kıyasla yüksek olmasına rağmen  cinsiyet istatistiksel olarak anlamlı bir risk faktörü olarak saptanmamıştır (p=0.148). Total ABH grubu kontrast öncesi ABH gelişen ve/veya kontrast aldıktan sonra ABH gelişen toplam tüm ABH'li hastaları içermektedir. Total ABH hastalarının yaş ortalaması 69.3 olup ABH olmayanlarla kıyaslandığında anlamlı olarak daha yüksektir (p &lt;0.001). Total ABH grubunda sigara içenlerin oranı %19.6</w:t>
      </w:r>
      <w:r w:rsidR="003C59C9">
        <w:rPr>
          <w:color w:val="000000" w:themeColor="text1"/>
        </w:rPr>
        <w:t xml:space="preserve"> </w:t>
      </w:r>
      <w:r w:rsidRPr="00F67102">
        <w:rPr>
          <w:color w:val="000000" w:themeColor="text1"/>
        </w:rPr>
        <w:t>(11) olup ABH olmayanlara göre anlamlı olarak düşüktür (p=0.028). Total ABH'lilerde diyabetiklerin oranı %48.2</w:t>
      </w:r>
      <w:r w:rsidR="003C59C9">
        <w:rPr>
          <w:color w:val="000000" w:themeColor="text1"/>
        </w:rPr>
        <w:t xml:space="preserve"> </w:t>
      </w:r>
      <w:r w:rsidRPr="00F67102">
        <w:rPr>
          <w:color w:val="000000" w:themeColor="text1"/>
        </w:rPr>
        <w:t>(27) olup ABH olmayanlara göre yüksektir ancak istatistiksel olarak anlamlı farklılık saptanmamıştır(p=0.131). Total ABH grubunda hipertansif hasta oranı %85.7</w:t>
      </w:r>
      <w:r w:rsidR="003C59C9">
        <w:rPr>
          <w:color w:val="000000" w:themeColor="text1"/>
        </w:rPr>
        <w:t xml:space="preserve"> </w:t>
      </w:r>
      <w:r w:rsidRPr="00F67102">
        <w:rPr>
          <w:color w:val="000000" w:themeColor="text1"/>
        </w:rPr>
        <w:t>(48) olup ABH olmayanlara göre yüksektir, hipertansiyon anlamlı bir risk faktörü olarak saptanmıştır (p=0.013). Total ABH'lilerde KBH oranı  %32.1(18) olup ABH olmayanlarla karşılaştırıldığında anlamlı olarak daha yüksektir (p=0.015).  Hiperlipidemi oranı total ABH'lilerde %53.6</w:t>
      </w:r>
      <w:r w:rsidR="003C59C9">
        <w:rPr>
          <w:color w:val="000000" w:themeColor="text1"/>
        </w:rPr>
        <w:t xml:space="preserve"> </w:t>
      </w:r>
      <w:r w:rsidRPr="00F67102">
        <w:rPr>
          <w:color w:val="000000" w:themeColor="text1"/>
        </w:rPr>
        <w:t>(30) olup ABH olmayanlara kıyasla yüksektir ancak istatistiksel olarak anlamlı bulunmamıştır (p=0.076). Tekrarlayan akut koroner sendrom oranı total ABH'lilerde %42.9</w:t>
      </w:r>
      <w:r w:rsidR="003C59C9">
        <w:rPr>
          <w:color w:val="000000" w:themeColor="text1"/>
        </w:rPr>
        <w:t xml:space="preserve"> </w:t>
      </w:r>
      <w:r w:rsidRPr="00F67102">
        <w:rPr>
          <w:color w:val="000000" w:themeColor="text1"/>
        </w:rPr>
        <w:t xml:space="preserve">(24) olup ABH olmayanlara kıyasla </w:t>
      </w:r>
      <w:r w:rsidRPr="00F67102">
        <w:rPr>
          <w:color w:val="000000" w:themeColor="text1"/>
        </w:rPr>
        <w:lastRenderedPageBreak/>
        <w:t>yüksektir ancak istatistiksel olarak anlamlı bulunmamıştır (p=0.766). Daha önce koroner by-pass olanların oranı total ABH'lilerde %25</w:t>
      </w:r>
      <w:r w:rsidR="003C59C9">
        <w:rPr>
          <w:color w:val="000000" w:themeColor="text1"/>
        </w:rPr>
        <w:t xml:space="preserve"> </w:t>
      </w:r>
      <w:r w:rsidRPr="00F67102">
        <w:rPr>
          <w:color w:val="000000" w:themeColor="text1"/>
        </w:rPr>
        <w:t>(14) olup ABH olmayanlara kıyasla yüksektir ancak istatistiksel olarak anlamlı bulunmamıştır (p=0.593). Geçirilmiş SVO oranı total ABH'lilerde %5.4(3) olup ABH olmayanlardan hafif yüksektir, istatistiksel olarak anlamlı bulunmamıştır (p=1). Total ABH'lilerde anemisi olanların oranı %32.1</w:t>
      </w:r>
      <w:r w:rsidR="003C59C9">
        <w:rPr>
          <w:color w:val="000000" w:themeColor="text1"/>
        </w:rPr>
        <w:t xml:space="preserve"> </w:t>
      </w:r>
      <w:r w:rsidRPr="00F67102">
        <w:rPr>
          <w:color w:val="000000" w:themeColor="text1"/>
        </w:rPr>
        <w:t>(18) olup ABH olmayanlara kıyasla yüksektir ancak istatistiksel olarak anlamlı değildir (p=0.079). Hipotansif hasta oranı total ABH'lilerde %12.5</w:t>
      </w:r>
      <w:r w:rsidR="00F14C7B">
        <w:rPr>
          <w:color w:val="000000" w:themeColor="text1"/>
        </w:rPr>
        <w:t xml:space="preserve"> </w:t>
      </w:r>
      <w:r w:rsidRPr="00F67102">
        <w:rPr>
          <w:color w:val="000000" w:themeColor="text1"/>
        </w:rPr>
        <w:t>(7) olup ABH olmayanlara kıyasla anlamlı olarak yüksektir (p=0.016). AV blok gelişen hastaların oranı total ABH'lilerde %12.5</w:t>
      </w:r>
      <w:r w:rsidR="00F14C7B">
        <w:rPr>
          <w:color w:val="000000" w:themeColor="text1"/>
        </w:rPr>
        <w:t xml:space="preserve"> </w:t>
      </w:r>
      <w:r w:rsidRPr="00F67102">
        <w:rPr>
          <w:color w:val="000000" w:themeColor="text1"/>
        </w:rPr>
        <w:t>(7) olup ABH olmayanlara istatistiksel anlamlı olarak yüksektir (p=0.016). Kardiyojenik şok gelişen hasta oranı total ABH'lilerde %14.3</w:t>
      </w:r>
      <w:r w:rsidR="00F14C7B">
        <w:rPr>
          <w:color w:val="000000" w:themeColor="text1"/>
        </w:rPr>
        <w:t xml:space="preserve"> </w:t>
      </w:r>
      <w:r w:rsidRPr="00F67102">
        <w:rPr>
          <w:color w:val="000000" w:themeColor="text1"/>
        </w:rPr>
        <w:t>(8) olup ABH olmayanlara kıyasla anlamlı olarak yüksektir (p&lt;0.001). Ventriküler taşikardi gelişen hastaların oranı total ABH'lilerde %3.6 (2) olup ABH olmayanlara kıyasla yüksektir ancak anlamlı bulunmamıştır (p=0.210). Ventriküler fibrilasyon gelişen hastaların oranı total ABH'lilerde %8.9</w:t>
      </w:r>
      <w:r w:rsidR="00F14C7B">
        <w:rPr>
          <w:color w:val="000000" w:themeColor="text1"/>
        </w:rPr>
        <w:t xml:space="preserve"> </w:t>
      </w:r>
      <w:r w:rsidRPr="00F67102">
        <w:rPr>
          <w:color w:val="000000" w:themeColor="text1"/>
        </w:rPr>
        <w:t>(5) olup ABH olmayanlara kıyasla istatistiksel anlamlı olarak yüksektir (p=0.040). Daha önce kronik AF öyküsü olan hastaların oranı total ABH'lilerde %7.1(4) olup ABH olmayanlara kıyasla yüksektir, istatistiksel olarak anlamlı değildir (p=0.106). Hastanedeyken AF gelişen hastaların oranı total ABH'lilerde %23.2 (13) olup ABH olmayanlara kıyasla istatistiksel anlamlı olarak yüksektir (p&lt;0.001). Hastanede eritrosit süspansiyonu desteği verilen hastaların oranı kontrast öncesi ABH'de %3.6</w:t>
      </w:r>
      <w:r w:rsidR="00F14C7B">
        <w:rPr>
          <w:color w:val="000000" w:themeColor="text1"/>
        </w:rPr>
        <w:t xml:space="preserve"> </w:t>
      </w:r>
      <w:r w:rsidRPr="00F67102">
        <w:rPr>
          <w:color w:val="000000" w:themeColor="text1"/>
        </w:rPr>
        <w:t>(2) olup ABH olmayanlara kıyasla yüksektir ancak istatistiksel olarak anlamlı bulunmamıştır (p=0.282). Major kanamalı hasta oranı total ABH'lilerde %1.8</w:t>
      </w:r>
      <w:r w:rsidR="00F14C7B">
        <w:rPr>
          <w:color w:val="000000" w:themeColor="text1"/>
        </w:rPr>
        <w:t xml:space="preserve"> </w:t>
      </w:r>
      <w:r w:rsidRPr="00F67102">
        <w:rPr>
          <w:color w:val="000000" w:themeColor="text1"/>
        </w:rPr>
        <w:t>(1) olup ABH olmayanlara göre hafif yüksektir, istatistiksel olarak anlamlı bulunmamıştır (p=0.319). Hastanede SVO geçiren hastaların oranı total ABH'lilerde %3.6</w:t>
      </w:r>
      <w:r>
        <w:rPr>
          <w:color w:val="000000" w:themeColor="text1"/>
        </w:rPr>
        <w:t xml:space="preserve"> </w:t>
      </w:r>
      <w:r w:rsidRPr="00F67102">
        <w:rPr>
          <w:color w:val="000000" w:themeColor="text1"/>
        </w:rPr>
        <w:t xml:space="preserve">(2) olup ABH olmayanlara kıyasla istatistiksel anlamlı olarak yüksektir (p=0.030). </w:t>
      </w:r>
    </w:p>
    <w:p w:rsidR="009C6BB2" w:rsidRPr="00F67102" w:rsidRDefault="00EC2F2D" w:rsidP="009C6BB2">
      <w:pPr>
        <w:rPr>
          <w:color w:val="000000" w:themeColor="text1"/>
        </w:rPr>
      </w:pPr>
      <w:r>
        <w:rPr>
          <w:color w:val="000000" w:themeColor="text1"/>
        </w:rPr>
        <w:tab/>
      </w:r>
      <w:r w:rsidR="009C6BB2" w:rsidRPr="00F67102">
        <w:rPr>
          <w:color w:val="000000" w:themeColor="text1"/>
        </w:rPr>
        <w:t>Hospitalizasyon sırasında ACEi-ARB kullanım öyküsü olan hastaların oranı total ABH'lilerde %33.9 (19) olup ABH olmayanlara kıyasla hafif yüksektir ancak istatistiksel anlamlı değildir (p=1.000).  Hastanedeyken ACEi-ARB kullanan hastaların oranı total ABH'lilerde %42.9</w:t>
      </w:r>
      <w:r w:rsidR="00F14C7B">
        <w:rPr>
          <w:color w:val="000000" w:themeColor="text1"/>
        </w:rPr>
        <w:t xml:space="preserve"> </w:t>
      </w:r>
      <w:r w:rsidR="009C6BB2" w:rsidRPr="00F67102">
        <w:rPr>
          <w:color w:val="000000" w:themeColor="text1"/>
        </w:rPr>
        <w:t>(24) olup ABH olmayanlara kıyasla istatistiksel anlamlı olarak düşüktür (p=0.004). Hospitalizasyon sırasında spironalakton kullanım öyküsü olan hastaların oranı total ABH'lilerde %5.4</w:t>
      </w:r>
      <w:r w:rsidR="00F14C7B">
        <w:rPr>
          <w:color w:val="000000" w:themeColor="text1"/>
        </w:rPr>
        <w:t xml:space="preserve"> </w:t>
      </w:r>
      <w:r w:rsidR="009C6BB2" w:rsidRPr="00F67102">
        <w:rPr>
          <w:color w:val="000000" w:themeColor="text1"/>
        </w:rPr>
        <w:t>(3) olup ABH olmayanlara kıyasla yüksektir, istatistiksel olarak anlamlı bulunmamıştır (p=0.195). Hastanedeyken spironalakton kullanan hastaların oranı total ABH'lilerde %5.4(3) olup ABH olmayanlara kıyasla yüksektir ancak istatistiksel olarak anlamlı değildir (p=0.707). Hospitalizasyon sırasında furosemid kullanım öyküsü olan hastaların oranı total ABH'lilerde %21.4</w:t>
      </w:r>
      <w:r w:rsidR="00F14C7B">
        <w:rPr>
          <w:color w:val="000000" w:themeColor="text1"/>
        </w:rPr>
        <w:t xml:space="preserve"> </w:t>
      </w:r>
      <w:r w:rsidR="009C6BB2" w:rsidRPr="00F67102">
        <w:rPr>
          <w:color w:val="000000" w:themeColor="text1"/>
        </w:rPr>
        <w:t xml:space="preserve">(12) olup ABH </w:t>
      </w:r>
      <w:r w:rsidR="009C6BB2" w:rsidRPr="00F67102">
        <w:rPr>
          <w:color w:val="000000" w:themeColor="text1"/>
        </w:rPr>
        <w:lastRenderedPageBreak/>
        <w:t>olmayanlara kıyasla yüksektir, istatistiksel olarak anlamlı bulunmuştur (p=0.002). Hastanedeyken furosemid kullanan hastaların oranı total ABH'lilerde %48.2</w:t>
      </w:r>
      <w:r w:rsidR="00F14C7B">
        <w:rPr>
          <w:color w:val="000000" w:themeColor="text1"/>
        </w:rPr>
        <w:t xml:space="preserve"> </w:t>
      </w:r>
      <w:r w:rsidR="009C6BB2" w:rsidRPr="00F67102">
        <w:rPr>
          <w:color w:val="000000" w:themeColor="text1"/>
        </w:rPr>
        <w:t>(27) olup ABH olmayanlara kıyasla istatistiksel anlamlı olarak yüksektir (p&lt;0.001). Hospitalizasyon sırasında statin kullanım öyküsü olan hastaların oranı total ABH'lilerde %26.8</w:t>
      </w:r>
      <w:r w:rsidR="00F14C7B">
        <w:rPr>
          <w:color w:val="000000" w:themeColor="text1"/>
        </w:rPr>
        <w:t xml:space="preserve"> </w:t>
      </w:r>
      <w:r w:rsidR="009C6BB2" w:rsidRPr="00F67102">
        <w:rPr>
          <w:color w:val="000000" w:themeColor="text1"/>
        </w:rPr>
        <w:t>(15) olup ABH olmayanlara kıyasla hafif düşüktür, istatistiksel olarak anlamlı bulunmamıştır (p=1.000). Hastanedeyken statin kullanan hastaların oranı total ABH'lilerde %91.1 (51) olup ABH olmayanlara kıyasla düşüktür ancak istatistiksel olarak anlamlı değildir (p=0.585). Hospitalizasyon sırasında asetilsalisilik asit kullanım öyküsü olan hastaların oranı total ABH'lilerde %51.8</w:t>
      </w:r>
      <w:r w:rsidR="00F14C7B">
        <w:rPr>
          <w:color w:val="000000" w:themeColor="text1"/>
        </w:rPr>
        <w:t xml:space="preserve"> </w:t>
      </w:r>
      <w:r w:rsidR="009C6BB2" w:rsidRPr="00F67102">
        <w:rPr>
          <w:color w:val="000000" w:themeColor="text1"/>
        </w:rPr>
        <w:t>(29) olup ABH olmayanlara kıyasla yüksektir, istatistiksel olarak anlamlı bulunmamıştır (p=0.659). Hastanedeyken asetilsalisilik asit kullanan hastaların oranı total ABH'lilerde %98.2</w:t>
      </w:r>
      <w:r w:rsidR="00F14C7B">
        <w:rPr>
          <w:color w:val="000000" w:themeColor="text1"/>
        </w:rPr>
        <w:t xml:space="preserve"> </w:t>
      </w:r>
      <w:r w:rsidR="009C6BB2" w:rsidRPr="00F67102">
        <w:rPr>
          <w:color w:val="000000" w:themeColor="text1"/>
        </w:rPr>
        <w:t>(55) olup ABH olmayanlara grubuna kıyasla hafif düşüktür ancak istatistiksel olarak anlamlı değildir (p=0.319). Hospitalizasyon sırasında klopidogrel kullanım öyküsü olan hastaların oranı total ABH'lilerde %19.6</w:t>
      </w:r>
      <w:r w:rsidR="00F14C7B">
        <w:rPr>
          <w:color w:val="000000" w:themeColor="text1"/>
        </w:rPr>
        <w:t xml:space="preserve"> </w:t>
      </w:r>
      <w:r w:rsidR="009C6BB2" w:rsidRPr="00F67102">
        <w:rPr>
          <w:color w:val="000000" w:themeColor="text1"/>
        </w:rPr>
        <w:t>(11) olup ABH olmayanlara kıyasla yüksektir, istatistiksel olarak anlamlı bulunmamıştır (p=0.303). Hastanedeyken klopidogrel kullanan hastaların oranı total ABH'lilerde %69.6</w:t>
      </w:r>
      <w:r w:rsidR="00F14C7B">
        <w:rPr>
          <w:color w:val="000000" w:themeColor="text1"/>
        </w:rPr>
        <w:t xml:space="preserve"> </w:t>
      </w:r>
      <w:r w:rsidR="009C6BB2" w:rsidRPr="00F67102">
        <w:rPr>
          <w:color w:val="000000" w:themeColor="text1"/>
        </w:rPr>
        <w:t xml:space="preserve">(39) olup ABH olmayanlara kıyasla hafif düşüktür, istatistiksel olarak anlamlı değildir (p=0.747). Total ABH grubunun PAB ortanca değeri 30 (15-80) mmHg olup total ABH'li hasta grubunda ABH olmayanlara kıyasla PAB ortalaması istatistiksel anlamlı olarak daha yüksektir (p=0.002). Total ABH grubunun EF ortanca değeri %45 (15-63) olup ABH olmayanlarla kıyaslandığında total ABH grubunda ortlama EF anlamlı olarak düşüktür (p=0.038). Total ABH grubunda total kolesterol düzeyi ortanca değeri 185 (110-319) olup ABH olmayanlara kıyasla yüksektir ancak istatistiksel olarak anlamlı farklılık saptanmamıştır (p=0.114). Total ABH grubunda LDL düzeyi ortanca değeri 118 (58-253) olup ABH olmayanlara kıyaslandığında total ABH grubunda anlamlı olarak yüksektir (p=0.014). Total ABH grubunda HDL ortanca değeri 35(22-66) olup ABH olmayanlarla karşılaştırıldığında hafif düşüktür, istatistiksel olarak anlamlı değildir (p=0.711). Total ABH grubunda TSH düzeyi ortanca değeri 1.52 (0-7.47) uIU/mL olup total ABH grubunda ortalama TSH düzeyi ABH olmayanlara kıyasla daha yüksektir, istatistiksel olarak anlamlı değildir (p=0.070). Total ABH grubundaki ortalama hemoglobin düzeyi 12.9 g/dL olup ABH olmayanlarla kıyaslandığında total ABH'de düşüktür, istatistiksel anlamlı farklılık saptanmamıştır (p=0.19). Yatış süresine bakıldığında toplam hastada ortanca yatış süresi 4 gün(3-25), total ABH grubunda ABH olmayanlara kıyasla ortanca yatış süresi 5 gün (3-25) olup total ABH grubunda yatış süresi anlamlı olarak uzundur (p=0.001). Hastanede mortal </w:t>
      </w:r>
      <w:r w:rsidR="009C6BB2" w:rsidRPr="00F67102">
        <w:rPr>
          <w:color w:val="000000" w:themeColor="text1"/>
        </w:rPr>
        <w:lastRenderedPageBreak/>
        <w:t>seyreden hasta oranı total ABH'lilerde %28.6 (16) olup ABH olmayanlara kıyasla anlamlı olarak yüksektir (p&lt;0.001).</w:t>
      </w:r>
    </w:p>
    <w:p w:rsidR="009C6BB2" w:rsidRPr="00F67102" w:rsidRDefault="00EC2F2D" w:rsidP="009C6BB2">
      <w:pPr>
        <w:rPr>
          <w:color w:val="000000" w:themeColor="text1"/>
        </w:rPr>
      </w:pPr>
      <w:r>
        <w:rPr>
          <w:color w:val="000000" w:themeColor="text1"/>
        </w:rPr>
        <w:tab/>
      </w:r>
      <w:r w:rsidR="009C6BB2" w:rsidRPr="00F67102">
        <w:rPr>
          <w:color w:val="000000" w:themeColor="text1"/>
        </w:rPr>
        <w:t>Özetle kontrast öncesi ABH grubunda risk faktörleri incelendiğinde hipertansiyon varlığı, hastanede gözlenen AF, hastanede gözlenen AV blok, evde furosemid kullanımı, hastanede furosemid kullanımı, kardiyojenik şok gelişimi istatistiksel olarak anlamlı bulunmuştur. Ayrıca yaş ortalaması, ortalama total kolesterol düzeyi, ortalama LDL düzeyi, ortalama TSH düzeyi kontrast öncesi ABH olanlarda olmayanlara göre anlamlı olarak yüksek bulunmuştur. Total ABH grubunda % 87.5 hastada kontrast ilişkili ABH gelişmiştir. Kontrast, ABH'ye yol açan önemli ve bilinen bir risk faktörü olup bunun haricindeki diğer risk faktörleri araştırıldığında total ABH gelişiminde KBH varlığı, hipertansiyon varlığı, hipotansiyon varlığı, hastanede gözlenen AF,</w:t>
      </w:r>
      <w:r w:rsidR="001715F4">
        <w:rPr>
          <w:color w:val="000000" w:themeColor="text1"/>
        </w:rPr>
        <w:t xml:space="preserve"> </w:t>
      </w:r>
      <w:r w:rsidR="009C6BB2" w:rsidRPr="00F67102">
        <w:rPr>
          <w:color w:val="000000" w:themeColor="text1"/>
        </w:rPr>
        <w:t>hastanede gözlenen SVO, hastanede gözlenen AV blok, ventriküler fibrilasyon gelişimi, hospitalizasyon sırasında öğrenilen evde rutin furosemid kullanımı, hastanede kullanılan furosemid, kardiyojenik şok gelişimi istatistiksel olarak anlamlı bulunmuştur. Ayrıca yaş ortalaması, ortalama LDL düzeyi, EKO da ortalama PAB düzeyi total ABH olanlarda olmayanlara göre daha yüksek, ortalama hemoglobin düzeyi ve EKO da ortalama EF yüzdesi anlamlı olarak daha düşüktür.</w:t>
      </w:r>
    </w:p>
    <w:p w:rsidR="009C6BB2" w:rsidRPr="00F67102" w:rsidRDefault="009C6BB2" w:rsidP="009C6BB2">
      <w:pPr>
        <w:rPr>
          <w:color w:val="000000" w:themeColor="text1"/>
        </w:rPr>
      </w:pPr>
    </w:p>
    <w:p w:rsidR="009C6BB2" w:rsidRPr="00F67102" w:rsidRDefault="009C6BB2" w:rsidP="00382CFB">
      <w:pPr>
        <w:jc w:val="center"/>
        <w:rPr>
          <w:color w:val="000000" w:themeColor="text1"/>
        </w:rPr>
      </w:pPr>
      <w:r w:rsidRPr="00F67102">
        <w:rPr>
          <w:noProof/>
          <w:color w:val="000000" w:themeColor="text1"/>
          <w:lang w:eastAsia="tr-TR"/>
        </w:rPr>
        <w:drawing>
          <wp:inline distT="0" distB="0" distL="0" distR="0">
            <wp:extent cx="5474524" cy="3360716"/>
            <wp:effectExtent l="0" t="0" r="0" b="0"/>
            <wp:docPr id="3" name="Grafik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9C6BB2" w:rsidRPr="00F67102" w:rsidRDefault="00445C1F" w:rsidP="0028148F">
      <w:pPr>
        <w:pStyle w:val="ResimYazs"/>
        <w:rPr>
          <w:color w:val="000000" w:themeColor="text1"/>
        </w:rPr>
      </w:pPr>
      <w:bookmarkStart w:id="46" w:name="_Toc459713096"/>
      <w:r>
        <w:t xml:space="preserve">Şekil </w:t>
      </w:r>
      <w:r w:rsidR="001715F4">
        <w:t>4</w:t>
      </w:r>
      <w:r>
        <w:t>.</w:t>
      </w:r>
      <w:r w:rsidR="00C57A06">
        <w:fldChar w:fldCharType="begin"/>
      </w:r>
      <w:r w:rsidR="00353523">
        <w:instrText xml:space="preserve"> SEQ Şekil \* ARABIC \s 1 </w:instrText>
      </w:r>
      <w:r w:rsidR="00C57A06">
        <w:fldChar w:fldCharType="separate"/>
      </w:r>
      <w:r w:rsidR="001C364D">
        <w:rPr>
          <w:noProof/>
        </w:rPr>
        <w:t>1</w:t>
      </w:r>
      <w:r w:rsidR="00C57A06">
        <w:rPr>
          <w:noProof/>
        </w:rPr>
        <w:fldChar w:fldCharType="end"/>
      </w:r>
      <w:r>
        <w:t xml:space="preserve">. </w:t>
      </w:r>
      <w:r w:rsidR="009C6BB2" w:rsidRPr="00F67102">
        <w:rPr>
          <w:color w:val="000000" w:themeColor="text1"/>
        </w:rPr>
        <w:t>Hastane mortalitesi karşılaştırılm</w:t>
      </w:r>
      <w:r>
        <w:rPr>
          <w:color w:val="000000" w:themeColor="text1"/>
        </w:rPr>
        <w:t>ası</w:t>
      </w:r>
      <w:bookmarkEnd w:id="46"/>
    </w:p>
    <w:p w:rsidR="009C6BB2" w:rsidRPr="00445C1F" w:rsidRDefault="009C6BB2" w:rsidP="0028148F">
      <w:pPr>
        <w:rPr>
          <w:color w:val="000000" w:themeColor="text1"/>
          <w:sz w:val="20"/>
        </w:rPr>
      </w:pPr>
      <w:r w:rsidRPr="00445C1F">
        <w:rPr>
          <w:color w:val="000000" w:themeColor="text1"/>
          <w:sz w:val="20"/>
        </w:rPr>
        <w:t>*Pre ABH:Kontrast öncesi ABH</w:t>
      </w:r>
    </w:p>
    <w:p w:rsidR="009C6BB2" w:rsidRPr="00F67102" w:rsidRDefault="009C6BB2" w:rsidP="009C6BB2">
      <w:pPr>
        <w:rPr>
          <w:color w:val="000000" w:themeColor="text1"/>
        </w:rPr>
      </w:pPr>
    </w:p>
    <w:p w:rsidR="009C6BB2" w:rsidRPr="00F67102" w:rsidRDefault="009C6BB2" w:rsidP="009C6BB2">
      <w:pPr>
        <w:rPr>
          <w:color w:val="000000" w:themeColor="text1"/>
        </w:rPr>
      </w:pPr>
    </w:p>
    <w:p w:rsidR="009C6BB2" w:rsidRPr="00382CFB" w:rsidRDefault="00382CFB" w:rsidP="00F14C7B">
      <w:pPr>
        <w:jc w:val="left"/>
        <w:rPr>
          <w:color w:val="000000" w:themeColor="text1"/>
        </w:rPr>
      </w:pPr>
      <w:bookmarkStart w:id="47" w:name="_Toc459713115"/>
      <w:r>
        <w:t xml:space="preserve">Tablo </w:t>
      </w:r>
      <w:r w:rsidR="001715F4">
        <w:t>4</w:t>
      </w:r>
      <w:r>
        <w:t>.</w:t>
      </w:r>
      <w:r w:rsidR="00C57A06">
        <w:fldChar w:fldCharType="begin"/>
      </w:r>
      <w:r w:rsidR="00353523">
        <w:instrText xml:space="preserve"> SEQ Tablo \* ARABIC \s 1 </w:instrText>
      </w:r>
      <w:r w:rsidR="00C57A06">
        <w:fldChar w:fldCharType="separate"/>
      </w:r>
      <w:r w:rsidR="001C364D">
        <w:rPr>
          <w:noProof/>
        </w:rPr>
        <w:t>4</w:t>
      </w:r>
      <w:r w:rsidR="00C57A06">
        <w:rPr>
          <w:noProof/>
        </w:rPr>
        <w:fldChar w:fldCharType="end"/>
      </w:r>
      <w:r>
        <w:t xml:space="preserve">. </w:t>
      </w:r>
      <w:r w:rsidR="009C6BB2" w:rsidRPr="00382CFB">
        <w:rPr>
          <w:color w:val="000000" w:themeColor="text1"/>
        </w:rPr>
        <w:t>Kontrast Öncesi ABH Bağımsız Risk Faktörleri</w:t>
      </w:r>
      <w:bookmarkEnd w:id="47"/>
    </w:p>
    <w:tbl>
      <w:tblPr>
        <w:tblStyle w:val="TabloKlavuzu"/>
        <w:tblW w:w="0" w:type="auto"/>
        <w:tblInd w:w="108" w:type="dxa"/>
        <w:tblLook w:val="04A0"/>
      </w:tblPr>
      <w:tblGrid>
        <w:gridCol w:w="5103"/>
        <w:gridCol w:w="966"/>
        <w:gridCol w:w="1666"/>
        <w:gridCol w:w="1054"/>
      </w:tblGrid>
      <w:tr w:rsidR="009C6BB2" w:rsidRPr="00F67102" w:rsidTr="00382CFB">
        <w:tc>
          <w:tcPr>
            <w:tcW w:w="5103" w:type="dxa"/>
            <w:tcBorders>
              <w:left w:val="nil"/>
              <w:bottom w:val="single" w:sz="4" w:space="0" w:color="000000"/>
              <w:right w:val="nil"/>
            </w:tcBorders>
          </w:tcPr>
          <w:p w:rsidR="009C6BB2" w:rsidRPr="00382CFB" w:rsidRDefault="009C6BB2" w:rsidP="00382CFB">
            <w:pPr>
              <w:jc w:val="center"/>
              <w:rPr>
                <w:b/>
                <w:color w:val="000000" w:themeColor="text1"/>
                <w:szCs w:val="24"/>
              </w:rPr>
            </w:pPr>
            <w:r w:rsidRPr="00382CFB">
              <w:rPr>
                <w:b/>
                <w:color w:val="000000" w:themeColor="text1"/>
                <w:szCs w:val="24"/>
              </w:rPr>
              <w:t>Kontrast Öncesi ABH Bağımsız Risk Faktörleri</w:t>
            </w:r>
          </w:p>
        </w:tc>
        <w:tc>
          <w:tcPr>
            <w:tcW w:w="966" w:type="dxa"/>
            <w:tcBorders>
              <w:left w:val="nil"/>
              <w:bottom w:val="single" w:sz="4" w:space="0" w:color="000000"/>
              <w:right w:val="nil"/>
            </w:tcBorders>
          </w:tcPr>
          <w:p w:rsidR="009C6BB2" w:rsidRPr="00382CFB" w:rsidRDefault="009C6BB2" w:rsidP="00382CFB">
            <w:pPr>
              <w:jc w:val="center"/>
              <w:rPr>
                <w:b/>
                <w:color w:val="000000" w:themeColor="text1"/>
                <w:szCs w:val="24"/>
              </w:rPr>
            </w:pPr>
            <w:r w:rsidRPr="00382CFB">
              <w:rPr>
                <w:b/>
                <w:color w:val="000000" w:themeColor="text1"/>
                <w:szCs w:val="24"/>
              </w:rPr>
              <w:t>OR</w:t>
            </w:r>
          </w:p>
        </w:tc>
        <w:tc>
          <w:tcPr>
            <w:tcW w:w="1666" w:type="dxa"/>
            <w:tcBorders>
              <w:left w:val="nil"/>
              <w:bottom w:val="single" w:sz="4" w:space="0" w:color="000000"/>
              <w:right w:val="nil"/>
            </w:tcBorders>
          </w:tcPr>
          <w:p w:rsidR="009C6BB2" w:rsidRPr="00382CFB" w:rsidRDefault="009C6BB2" w:rsidP="00382CFB">
            <w:pPr>
              <w:jc w:val="center"/>
              <w:rPr>
                <w:b/>
                <w:color w:val="000000" w:themeColor="text1"/>
                <w:szCs w:val="24"/>
              </w:rPr>
            </w:pPr>
            <w:r w:rsidRPr="00382CFB">
              <w:rPr>
                <w:b/>
                <w:color w:val="000000" w:themeColor="text1"/>
                <w:szCs w:val="24"/>
              </w:rPr>
              <w:t>% 95 GA</w:t>
            </w:r>
          </w:p>
        </w:tc>
        <w:tc>
          <w:tcPr>
            <w:tcW w:w="1054" w:type="dxa"/>
            <w:tcBorders>
              <w:left w:val="nil"/>
              <w:bottom w:val="single" w:sz="4" w:space="0" w:color="000000"/>
              <w:right w:val="nil"/>
            </w:tcBorders>
          </w:tcPr>
          <w:p w:rsidR="009C6BB2" w:rsidRPr="00382CFB" w:rsidRDefault="009C6BB2" w:rsidP="00382CFB">
            <w:pPr>
              <w:jc w:val="center"/>
              <w:rPr>
                <w:b/>
                <w:color w:val="000000" w:themeColor="text1"/>
                <w:szCs w:val="24"/>
              </w:rPr>
            </w:pPr>
            <w:r w:rsidRPr="00382CFB">
              <w:rPr>
                <w:b/>
                <w:color w:val="000000" w:themeColor="text1"/>
                <w:szCs w:val="24"/>
              </w:rPr>
              <w:t>P</w:t>
            </w:r>
          </w:p>
        </w:tc>
      </w:tr>
      <w:tr w:rsidR="009C6BB2" w:rsidRPr="00F67102" w:rsidTr="00382CFB">
        <w:tc>
          <w:tcPr>
            <w:tcW w:w="5103" w:type="dxa"/>
            <w:tcBorders>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Kardiyojenik Şok</w:t>
            </w:r>
          </w:p>
        </w:tc>
        <w:tc>
          <w:tcPr>
            <w:tcW w:w="966" w:type="dxa"/>
            <w:tcBorders>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5.691</w:t>
            </w:r>
          </w:p>
        </w:tc>
        <w:tc>
          <w:tcPr>
            <w:tcW w:w="1666" w:type="dxa"/>
            <w:tcBorders>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1.119-28.945</w:t>
            </w:r>
          </w:p>
        </w:tc>
        <w:tc>
          <w:tcPr>
            <w:tcW w:w="1054" w:type="dxa"/>
            <w:tcBorders>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0.036*</w:t>
            </w:r>
          </w:p>
        </w:tc>
      </w:tr>
      <w:tr w:rsidR="009C6BB2" w:rsidRPr="00F67102" w:rsidTr="00382CFB">
        <w:tc>
          <w:tcPr>
            <w:tcW w:w="5103" w:type="dxa"/>
            <w:tcBorders>
              <w:top w:val="nil"/>
              <w:left w:val="nil"/>
              <w:right w:val="nil"/>
            </w:tcBorders>
          </w:tcPr>
          <w:p w:rsidR="009C6BB2" w:rsidRPr="00F67102" w:rsidRDefault="009C6BB2" w:rsidP="009C6BB2">
            <w:pPr>
              <w:rPr>
                <w:color w:val="000000" w:themeColor="text1"/>
                <w:szCs w:val="24"/>
              </w:rPr>
            </w:pPr>
            <w:r w:rsidRPr="00F67102">
              <w:rPr>
                <w:color w:val="000000" w:themeColor="text1"/>
                <w:szCs w:val="24"/>
              </w:rPr>
              <w:t>Hastanede Furosemid Kullanımı</w:t>
            </w:r>
          </w:p>
        </w:tc>
        <w:tc>
          <w:tcPr>
            <w:tcW w:w="966" w:type="dxa"/>
            <w:tcBorders>
              <w:top w:val="nil"/>
              <w:left w:val="nil"/>
              <w:right w:val="nil"/>
            </w:tcBorders>
          </w:tcPr>
          <w:p w:rsidR="009C6BB2" w:rsidRPr="00F67102" w:rsidRDefault="009C6BB2" w:rsidP="009C6BB2">
            <w:pPr>
              <w:rPr>
                <w:color w:val="000000" w:themeColor="text1"/>
                <w:szCs w:val="24"/>
              </w:rPr>
            </w:pPr>
            <w:r w:rsidRPr="00F67102">
              <w:rPr>
                <w:color w:val="000000" w:themeColor="text1"/>
                <w:szCs w:val="24"/>
              </w:rPr>
              <w:t>4.395</w:t>
            </w:r>
          </w:p>
        </w:tc>
        <w:tc>
          <w:tcPr>
            <w:tcW w:w="1666" w:type="dxa"/>
            <w:tcBorders>
              <w:top w:val="nil"/>
              <w:left w:val="nil"/>
              <w:right w:val="nil"/>
            </w:tcBorders>
          </w:tcPr>
          <w:p w:rsidR="009C6BB2" w:rsidRPr="00F67102" w:rsidRDefault="009C6BB2" w:rsidP="009C6BB2">
            <w:pPr>
              <w:rPr>
                <w:color w:val="000000" w:themeColor="text1"/>
                <w:szCs w:val="24"/>
              </w:rPr>
            </w:pPr>
            <w:r w:rsidRPr="00F67102">
              <w:rPr>
                <w:color w:val="000000" w:themeColor="text1"/>
                <w:szCs w:val="24"/>
              </w:rPr>
              <w:t>1.855-10.412</w:t>
            </w:r>
          </w:p>
        </w:tc>
        <w:tc>
          <w:tcPr>
            <w:tcW w:w="1054" w:type="dxa"/>
            <w:tcBorders>
              <w:top w:val="nil"/>
              <w:left w:val="nil"/>
              <w:right w:val="nil"/>
            </w:tcBorders>
          </w:tcPr>
          <w:p w:rsidR="009C6BB2" w:rsidRPr="00F67102" w:rsidRDefault="009C6BB2" w:rsidP="009C6BB2">
            <w:pPr>
              <w:rPr>
                <w:color w:val="000000" w:themeColor="text1"/>
                <w:szCs w:val="24"/>
              </w:rPr>
            </w:pPr>
            <w:r w:rsidRPr="00F67102">
              <w:rPr>
                <w:color w:val="000000" w:themeColor="text1"/>
                <w:szCs w:val="24"/>
              </w:rPr>
              <w:t>&lt;0,001*</w:t>
            </w:r>
          </w:p>
        </w:tc>
      </w:tr>
    </w:tbl>
    <w:p w:rsidR="009C6BB2" w:rsidRPr="00F67102" w:rsidRDefault="009C6BB2" w:rsidP="009C6BB2">
      <w:pPr>
        <w:rPr>
          <w:color w:val="000000" w:themeColor="text1"/>
        </w:rPr>
      </w:pPr>
    </w:p>
    <w:p w:rsidR="009C6BB2" w:rsidRPr="00F67102" w:rsidRDefault="009C6BB2" w:rsidP="009C6BB2">
      <w:pPr>
        <w:rPr>
          <w:color w:val="000000" w:themeColor="text1"/>
        </w:rPr>
      </w:pPr>
      <w:r>
        <w:rPr>
          <w:color w:val="000000" w:themeColor="text1"/>
        </w:rPr>
        <w:tab/>
      </w:r>
      <w:r w:rsidRPr="00F67102">
        <w:rPr>
          <w:color w:val="000000" w:themeColor="text1"/>
        </w:rPr>
        <w:t xml:space="preserve">Lojistik regresyon analizi ile değişkenler total ABH ve kontrast öncesi ABH olanlarda ayrı ayrı analiz edilmiştir. Kardiyojenik şoku olan hastalarda olmayanlara göre kontrast öncesi ABH gelişme riski 5.6 kat fazladır (OR=5.691, %95 GA=1.119-28.945, p=0.036), Hastanede furosemid kullanılanlarda kullanılmayanlara göre kontrast öncesi ABH gelişme riski 4.3 kat fazladır (OR=4.395, %95 GA=1.855-10.412 p&lt;0.001) . </w:t>
      </w:r>
    </w:p>
    <w:p w:rsidR="009C6BB2" w:rsidRDefault="009C6BB2" w:rsidP="009C6BB2">
      <w:pPr>
        <w:rPr>
          <w:color w:val="000000" w:themeColor="text1"/>
        </w:rPr>
      </w:pPr>
    </w:p>
    <w:p w:rsidR="00382CFB" w:rsidRPr="00F67102" w:rsidRDefault="00382CFB" w:rsidP="009C6BB2">
      <w:pPr>
        <w:rPr>
          <w:color w:val="000000" w:themeColor="text1"/>
        </w:rPr>
      </w:pPr>
    </w:p>
    <w:p w:rsidR="009C6BB2" w:rsidRPr="00382CFB" w:rsidRDefault="00382CFB" w:rsidP="00382CFB">
      <w:pPr>
        <w:pStyle w:val="ResimYazs"/>
        <w:rPr>
          <w:color w:val="000000" w:themeColor="text1"/>
        </w:rPr>
      </w:pPr>
      <w:bookmarkStart w:id="48" w:name="_Toc459713116"/>
      <w:r>
        <w:t xml:space="preserve">Tablo </w:t>
      </w:r>
      <w:r w:rsidR="001715F4">
        <w:t>4</w:t>
      </w:r>
      <w:r>
        <w:t>.</w:t>
      </w:r>
      <w:r w:rsidR="00C57A06">
        <w:fldChar w:fldCharType="begin"/>
      </w:r>
      <w:r w:rsidR="00353523">
        <w:instrText xml:space="preserve"> SEQ Tablo \* ARABIC \s 1 </w:instrText>
      </w:r>
      <w:r w:rsidR="00C57A06">
        <w:fldChar w:fldCharType="separate"/>
      </w:r>
      <w:r w:rsidR="001C364D">
        <w:rPr>
          <w:noProof/>
        </w:rPr>
        <w:t>5</w:t>
      </w:r>
      <w:r w:rsidR="00C57A06">
        <w:rPr>
          <w:noProof/>
        </w:rPr>
        <w:fldChar w:fldCharType="end"/>
      </w:r>
      <w:r>
        <w:t xml:space="preserve">. </w:t>
      </w:r>
      <w:r w:rsidR="009C6BB2" w:rsidRPr="00382CFB">
        <w:rPr>
          <w:color w:val="000000" w:themeColor="text1"/>
        </w:rPr>
        <w:t>Total ABH hastalarında Bağımsız Risk Faktörleri</w:t>
      </w:r>
      <w:bookmarkEnd w:id="48"/>
    </w:p>
    <w:tbl>
      <w:tblPr>
        <w:tblStyle w:val="TabloKlavuzu"/>
        <w:tblW w:w="0" w:type="auto"/>
        <w:tblLook w:val="04A0"/>
      </w:tblPr>
      <w:tblGrid>
        <w:gridCol w:w="5353"/>
        <w:gridCol w:w="1134"/>
        <w:gridCol w:w="1559"/>
        <w:gridCol w:w="957"/>
      </w:tblGrid>
      <w:tr w:rsidR="009C6BB2" w:rsidRPr="00F67102" w:rsidTr="00382CFB">
        <w:tc>
          <w:tcPr>
            <w:tcW w:w="5353" w:type="dxa"/>
            <w:tcBorders>
              <w:left w:val="nil"/>
              <w:bottom w:val="single" w:sz="4" w:space="0" w:color="000000"/>
              <w:right w:val="nil"/>
            </w:tcBorders>
          </w:tcPr>
          <w:p w:rsidR="009C6BB2" w:rsidRPr="00382CFB" w:rsidRDefault="009C6BB2" w:rsidP="00382CFB">
            <w:pPr>
              <w:jc w:val="center"/>
              <w:rPr>
                <w:b/>
                <w:color w:val="000000" w:themeColor="text1"/>
                <w:szCs w:val="24"/>
              </w:rPr>
            </w:pPr>
            <w:r w:rsidRPr="00382CFB">
              <w:rPr>
                <w:b/>
                <w:color w:val="000000" w:themeColor="text1"/>
                <w:szCs w:val="24"/>
              </w:rPr>
              <w:t>Total ABH hastalarında Bağımsız Risk Faktörleri</w:t>
            </w:r>
          </w:p>
        </w:tc>
        <w:tc>
          <w:tcPr>
            <w:tcW w:w="1134" w:type="dxa"/>
            <w:tcBorders>
              <w:left w:val="nil"/>
              <w:bottom w:val="single" w:sz="4" w:space="0" w:color="000000"/>
              <w:right w:val="nil"/>
            </w:tcBorders>
          </w:tcPr>
          <w:p w:rsidR="009C6BB2" w:rsidRPr="00382CFB" w:rsidRDefault="009C6BB2" w:rsidP="00382CFB">
            <w:pPr>
              <w:jc w:val="center"/>
              <w:rPr>
                <w:b/>
                <w:color w:val="000000" w:themeColor="text1"/>
                <w:szCs w:val="24"/>
              </w:rPr>
            </w:pPr>
            <w:r w:rsidRPr="00382CFB">
              <w:rPr>
                <w:b/>
                <w:color w:val="000000" w:themeColor="text1"/>
                <w:szCs w:val="24"/>
              </w:rPr>
              <w:t>OR</w:t>
            </w:r>
          </w:p>
        </w:tc>
        <w:tc>
          <w:tcPr>
            <w:tcW w:w="1559" w:type="dxa"/>
            <w:tcBorders>
              <w:left w:val="nil"/>
              <w:bottom w:val="single" w:sz="4" w:space="0" w:color="000000"/>
              <w:right w:val="nil"/>
            </w:tcBorders>
          </w:tcPr>
          <w:p w:rsidR="009C6BB2" w:rsidRPr="00382CFB" w:rsidRDefault="009C6BB2" w:rsidP="00382CFB">
            <w:pPr>
              <w:jc w:val="center"/>
              <w:rPr>
                <w:b/>
                <w:color w:val="000000" w:themeColor="text1"/>
                <w:szCs w:val="24"/>
              </w:rPr>
            </w:pPr>
            <w:r w:rsidRPr="00382CFB">
              <w:rPr>
                <w:b/>
                <w:color w:val="000000" w:themeColor="text1"/>
                <w:szCs w:val="24"/>
              </w:rPr>
              <w:t>% 95 GA</w:t>
            </w:r>
          </w:p>
        </w:tc>
        <w:tc>
          <w:tcPr>
            <w:tcW w:w="957" w:type="dxa"/>
            <w:tcBorders>
              <w:left w:val="nil"/>
              <w:bottom w:val="single" w:sz="4" w:space="0" w:color="000000"/>
              <w:right w:val="nil"/>
            </w:tcBorders>
          </w:tcPr>
          <w:p w:rsidR="009C6BB2" w:rsidRPr="00382CFB" w:rsidRDefault="009C6BB2" w:rsidP="00382CFB">
            <w:pPr>
              <w:jc w:val="center"/>
              <w:rPr>
                <w:b/>
                <w:color w:val="000000" w:themeColor="text1"/>
                <w:szCs w:val="24"/>
              </w:rPr>
            </w:pPr>
            <w:r w:rsidRPr="00382CFB">
              <w:rPr>
                <w:b/>
                <w:color w:val="000000" w:themeColor="text1"/>
                <w:szCs w:val="24"/>
              </w:rPr>
              <w:t>P</w:t>
            </w:r>
          </w:p>
        </w:tc>
      </w:tr>
      <w:tr w:rsidR="009C6BB2" w:rsidRPr="00F67102" w:rsidTr="00382CFB">
        <w:tc>
          <w:tcPr>
            <w:tcW w:w="5353" w:type="dxa"/>
            <w:tcBorders>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Yaş</w:t>
            </w:r>
          </w:p>
        </w:tc>
        <w:tc>
          <w:tcPr>
            <w:tcW w:w="1134" w:type="dxa"/>
            <w:tcBorders>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1.044</w:t>
            </w:r>
          </w:p>
        </w:tc>
        <w:tc>
          <w:tcPr>
            <w:tcW w:w="1559" w:type="dxa"/>
            <w:tcBorders>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1.003-1.087</w:t>
            </w:r>
          </w:p>
        </w:tc>
        <w:tc>
          <w:tcPr>
            <w:tcW w:w="957" w:type="dxa"/>
            <w:tcBorders>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0.036</w:t>
            </w:r>
          </w:p>
        </w:tc>
      </w:tr>
      <w:tr w:rsidR="009C6BB2" w:rsidRPr="00F67102" w:rsidTr="00382CFB">
        <w:tc>
          <w:tcPr>
            <w:tcW w:w="5353"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Kardiyojenik Şok</w:t>
            </w:r>
          </w:p>
        </w:tc>
        <w:tc>
          <w:tcPr>
            <w:tcW w:w="1134"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11.382</w:t>
            </w:r>
          </w:p>
        </w:tc>
        <w:tc>
          <w:tcPr>
            <w:tcW w:w="1559"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1.940-66.781</w:t>
            </w:r>
          </w:p>
        </w:tc>
        <w:tc>
          <w:tcPr>
            <w:tcW w:w="957"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0.007</w:t>
            </w:r>
          </w:p>
        </w:tc>
      </w:tr>
      <w:tr w:rsidR="009C6BB2" w:rsidRPr="00F67102" w:rsidTr="00382CFB">
        <w:tc>
          <w:tcPr>
            <w:tcW w:w="5353"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LDL</w:t>
            </w:r>
          </w:p>
        </w:tc>
        <w:tc>
          <w:tcPr>
            <w:tcW w:w="1134"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1.014</w:t>
            </w:r>
          </w:p>
        </w:tc>
        <w:tc>
          <w:tcPr>
            <w:tcW w:w="1559"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1.005-1.024</w:t>
            </w:r>
          </w:p>
        </w:tc>
        <w:tc>
          <w:tcPr>
            <w:tcW w:w="957" w:type="dxa"/>
            <w:tcBorders>
              <w:top w:val="nil"/>
              <w:left w:val="nil"/>
              <w:bottom w:val="nil"/>
              <w:right w:val="nil"/>
            </w:tcBorders>
          </w:tcPr>
          <w:p w:rsidR="009C6BB2" w:rsidRPr="00F67102" w:rsidRDefault="009C6BB2" w:rsidP="009C6BB2">
            <w:pPr>
              <w:rPr>
                <w:color w:val="000000" w:themeColor="text1"/>
                <w:szCs w:val="24"/>
              </w:rPr>
            </w:pPr>
            <w:r w:rsidRPr="00F67102">
              <w:rPr>
                <w:color w:val="000000" w:themeColor="text1"/>
                <w:szCs w:val="24"/>
              </w:rPr>
              <w:t>0.002</w:t>
            </w:r>
          </w:p>
        </w:tc>
      </w:tr>
      <w:tr w:rsidR="009C6BB2" w:rsidRPr="00F67102" w:rsidTr="00382CFB">
        <w:tc>
          <w:tcPr>
            <w:tcW w:w="5353" w:type="dxa"/>
            <w:tcBorders>
              <w:top w:val="nil"/>
              <w:left w:val="nil"/>
              <w:right w:val="nil"/>
            </w:tcBorders>
          </w:tcPr>
          <w:p w:rsidR="009C6BB2" w:rsidRPr="00F67102" w:rsidRDefault="009C6BB2" w:rsidP="009C6BB2">
            <w:pPr>
              <w:rPr>
                <w:color w:val="000000" w:themeColor="text1"/>
                <w:szCs w:val="24"/>
              </w:rPr>
            </w:pPr>
            <w:r w:rsidRPr="00F67102">
              <w:rPr>
                <w:color w:val="000000" w:themeColor="text1"/>
                <w:szCs w:val="24"/>
              </w:rPr>
              <w:t>Hastanede Furosemid Kullanımı</w:t>
            </w:r>
          </w:p>
        </w:tc>
        <w:tc>
          <w:tcPr>
            <w:tcW w:w="1134" w:type="dxa"/>
            <w:tcBorders>
              <w:top w:val="nil"/>
              <w:left w:val="nil"/>
              <w:right w:val="nil"/>
            </w:tcBorders>
          </w:tcPr>
          <w:p w:rsidR="009C6BB2" w:rsidRPr="00F67102" w:rsidRDefault="009C6BB2" w:rsidP="009C6BB2">
            <w:pPr>
              <w:rPr>
                <w:color w:val="000000" w:themeColor="text1"/>
                <w:szCs w:val="24"/>
              </w:rPr>
            </w:pPr>
            <w:r w:rsidRPr="00F67102">
              <w:rPr>
                <w:color w:val="000000" w:themeColor="text1"/>
                <w:szCs w:val="24"/>
              </w:rPr>
              <w:t>5.439</w:t>
            </w:r>
          </w:p>
        </w:tc>
        <w:tc>
          <w:tcPr>
            <w:tcW w:w="1559" w:type="dxa"/>
            <w:tcBorders>
              <w:top w:val="nil"/>
              <w:left w:val="nil"/>
              <w:right w:val="nil"/>
            </w:tcBorders>
          </w:tcPr>
          <w:p w:rsidR="009C6BB2" w:rsidRPr="00F67102" w:rsidRDefault="009C6BB2" w:rsidP="009C6BB2">
            <w:pPr>
              <w:rPr>
                <w:color w:val="000000" w:themeColor="text1"/>
                <w:szCs w:val="24"/>
              </w:rPr>
            </w:pPr>
            <w:r w:rsidRPr="00F67102">
              <w:rPr>
                <w:color w:val="000000" w:themeColor="text1"/>
                <w:szCs w:val="24"/>
              </w:rPr>
              <w:t>2.219-13.337</w:t>
            </w:r>
          </w:p>
        </w:tc>
        <w:tc>
          <w:tcPr>
            <w:tcW w:w="957" w:type="dxa"/>
            <w:tcBorders>
              <w:top w:val="nil"/>
              <w:left w:val="nil"/>
              <w:right w:val="nil"/>
            </w:tcBorders>
          </w:tcPr>
          <w:p w:rsidR="009C6BB2" w:rsidRPr="00F67102" w:rsidRDefault="009C6BB2" w:rsidP="009C6BB2">
            <w:pPr>
              <w:rPr>
                <w:color w:val="000000" w:themeColor="text1"/>
                <w:szCs w:val="24"/>
              </w:rPr>
            </w:pPr>
            <w:r w:rsidRPr="00F67102">
              <w:rPr>
                <w:color w:val="000000" w:themeColor="text1"/>
                <w:szCs w:val="24"/>
              </w:rPr>
              <w:t>&lt;0.001</w:t>
            </w:r>
          </w:p>
        </w:tc>
      </w:tr>
    </w:tbl>
    <w:p w:rsidR="009C6BB2" w:rsidRPr="00F67102" w:rsidRDefault="009C6BB2" w:rsidP="009C6BB2">
      <w:pPr>
        <w:rPr>
          <w:color w:val="000000" w:themeColor="text1"/>
        </w:rPr>
      </w:pPr>
    </w:p>
    <w:p w:rsidR="009C6BB2" w:rsidRPr="00F67102" w:rsidRDefault="00382CFB" w:rsidP="009C6BB2">
      <w:pPr>
        <w:rPr>
          <w:color w:val="000000" w:themeColor="text1"/>
        </w:rPr>
      </w:pPr>
      <w:r>
        <w:rPr>
          <w:color w:val="000000" w:themeColor="text1"/>
        </w:rPr>
        <w:tab/>
      </w:r>
      <w:r w:rsidR="009C6BB2" w:rsidRPr="00F67102">
        <w:rPr>
          <w:color w:val="000000" w:themeColor="text1"/>
        </w:rPr>
        <w:t xml:space="preserve">Kardiyojenik şok olan hastalarda olmayanlara göre ABH gelişme riski 11.3 kat artmaktadır (OR=11.382, %95 GA=1.940-66.781, p=0.007).  Hastanede furosemid kullanılanlarda kullanılmayanlara göre ABH gelişme riski 5.4 kat fazladır (OR=5.439, %95 GA=2.219-13.337, p&lt;0.001). Yaşın her bir birim artışı ABH gelişme riskini %4.4 arttırmaktadır (OR=1.044, %95 GA=1.003-1.087, p=0.036). LDL' nin her 1 mg/dL artışı ABH gelişme riskini %1,4 arttırır (OR=1.014, %95 GA=1.005-1.024, p&lt;0.001).  </w:t>
      </w:r>
    </w:p>
    <w:p w:rsidR="00985F52" w:rsidRDefault="00382CFB" w:rsidP="009C6BB2">
      <w:pPr>
        <w:rPr>
          <w:color w:val="000000" w:themeColor="text1"/>
        </w:rPr>
      </w:pPr>
      <w:r>
        <w:rPr>
          <w:color w:val="000000" w:themeColor="text1"/>
        </w:rPr>
        <w:tab/>
      </w:r>
      <w:r w:rsidR="009C6BB2" w:rsidRPr="00F67102">
        <w:rPr>
          <w:color w:val="000000" w:themeColor="text1"/>
        </w:rPr>
        <w:t>Tersine bir durum olarak hastanede ACEi-ARB kullanmayan hastalarda kullananlara göre kontrast öncesi ABH gelişme riski 2.7 kat (OR=2.755, %95 GA=1.236-6.141, p=0.013) ve ABH gelişme riski 2.6 kat (OR=2.681, % 95 GA=1.244-5.777, p=0.012) artmıştır.</w:t>
      </w:r>
    </w:p>
    <w:p w:rsidR="009C6BB2" w:rsidRPr="0057493F" w:rsidRDefault="009C6BB2" w:rsidP="009C6BB2">
      <w:pPr>
        <w:rPr>
          <w:szCs w:val="24"/>
        </w:rPr>
      </w:pPr>
    </w:p>
    <w:p w:rsidR="00614E25" w:rsidRPr="0057493F" w:rsidRDefault="00614E25" w:rsidP="00985F52">
      <w:pPr>
        <w:rPr>
          <w:szCs w:val="24"/>
        </w:rPr>
        <w:sectPr w:rsidR="00614E25" w:rsidRPr="0057493F" w:rsidSect="00DF54B2">
          <w:pgSz w:w="11906" w:h="16838" w:code="9"/>
          <w:pgMar w:top="1418" w:right="1418" w:bottom="1418" w:left="1701" w:header="709" w:footer="709" w:gutter="0"/>
          <w:cols w:space="708"/>
          <w:docGrid w:linePitch="360"/>
        </w:sectPr>
      </w:pPr>
    </w:p>
    <w:p w:rsidR="00AE2D0D" w:rsidRPr="00DE646C" w:rsidRDefault="00AE2D0D" w:rsidP="00A80FC8">
      <w:pPr>
        <w:pStyle w:val="Balk1"/>
      </w:pPr>
      <w:bookmarkStart w:id="49" w:name="_Toc459712419"/>
      <w:r>
        <w:lastRenderedPageBreak/>
        <w:t>5. TARTIŞMA</w:t>
      </w:r>
      <w:bookmarkEnd w:id="49"/>
    </w:p>
    <w:p w:rsidR="009C6BB2" w:rsidRPr="00F67102" w:rsidRDefault="00EC2F2D" w:rsidP="009C6BB2">
      <w:pPr>
        <w:rPr>
          <w:color w:val="000000" w:themeColor="text1"/>
        </w:rPr>
      </w:pPr>
      <w:r>
        <w:rPr>
          <w:color w:val="000000" w:themeColor="text1"/>
        </w:rPr>
        <w:tab/>
      </w:r>
      <w:r w:rsidR="009C6BB2" w:rsidRPr="00F67102">
        <w:rPr>
          <w:color w:val="000000" w:themeColor="text1"/>
        </w:rPr>
        <w:t>Çalışmamızda AKS'de total ABH olanların insidansı %17.4</w:t>
      </w:r>
      <w:r>
        <w:rPr>
          <w:color w:val="000000" w:themeColor="text1"/>
        </w:rPr>
        <w:t xml:space="preserve"> </w:t>
      </w:r>
      <w:r w:rsidR="009C6BB2" w:rsidRPr="00F67102">
        <w:rPr>
          <w:color w:val="000000" w:themeColor="text1"/>
        </w:rPr>
        <w:t xml:space="preserve">(56) olarak tespit edilmiştir. Önceki çalışmalara bakıldığında AKS hastalarında ABH gelişme insidansının %5-55 arası geniş bir aralıkta değişkenlik gösterdiği dikkati çekmektedir </w:t>
      </w:r>
      <w:r w:rsidR="009C6BB2">
        <w:rPr>
          <w:color w:val="000000" w:themeColor="text1"/>
        </w:rPr>
        <w:t>(54,87-94).</w:t>
      </w:r>
      <w:r w:rsidR="009C6BB2">
        <w:rPr>
          <w:color w:val="FF0000"/>
        </w:rPr>
        <w:t xml:space="preserve"> </w:t>
      </w:r>
      <w:r w:rsidR="009C6BB2" w:rsidRPr="00F67102">
        <w:rPr>
          <w:color w:val="000000" w:themeColor="text1"/>
        </w:rPr>
        <w:t>ABH insidansındaki değişkenlik öncelikle ABH tanımlamasındaki farklılıklara ve hasta gruplarındaki değişkenliklere bağlı olmaktadır. Bu çalışmalarda hasta populasyonu AKS olanlar, akutMI olanlar, sadece ST eleve AMI(STEMI) olanlar, sadece ST eleve olmayan AMI(NSTEMI) olanlar şeklinde farklılık göstermektedir. Bizim sonucumuza yakın olarak ACTION (Acute Coronary Treatment and Intervention Outcomes) verilerinden seçilen 59.970 adet akut MI hastasında ABH insidansı  %16 olarak bulunmuştur</w:t>
      </w:r>
      <w:r w:rsidR="009C6BB2">
        <w:rPr>
          <w:color w:val="000000" w:themeColor="text1"/>
        </w:rPr>
        <w:t xml:space="preserve"> (66</w:t>
      </w:r>
      <w:r w:rsidR="009C6BB2" w:rsidRPr="00F67102">
        <w:rPr>
          <w:color w:val="000000" w:themeColor="text1"/>
        </w:rPr>
        <w:t>).</w:t>
      </w:r>
    </w:p>
    <w:p w:rsidR="009C6BB2" w:rsidRPr="00F67102" w:rsidRDefault="00EC2F2D" w:rsidP="009C6BB2">
      <w:pPr>
        <w:rPr>
          <w:color w:val="000000" w:themeColor="text1"/>
        </w:rPr>
      </w:pPr>
      <w:r>
        <w:rPr>
          <w:color w:val="000000" w:themeColor="text1"/>
        </w:rPr>
        <w:tab/>
      </w:r>
      <w:r w:rsidR="009C6BB2" w:rsidRPr="00F67102">
        <w:rPr>
          <w:color w:val="000000" w:themeColor="text1"/>
        </w:rPr>
        <w:t xml:space="preserve">AKS hastalarında ABH patofizyolojisinde rol oynayabileceği düşünülen pek çok faktör mevcuttur. İleri yaş, KBH, DM, dehidratasyon ve anemi gibi predispozan faktörler, hemodinaminin bozulması, kanama, nörohumoral aktivasyon, asidoz, hipoksi, hiperglisemi gibi metabolik renal iskemi yapan faktörler, koroner anjiografiye bağlı radyokontrast madde veya ateroembolizm, ilaçlar (diüretik, ACEi-ARB, NSAII, antibiyotikler) bunların başlıcalarıdır </w:t>
      </w:r>
      <w:r w:rsidR="009C6BB2">
        <w:rPr>
          <w:color w:val="000000" w:themeColor="text1"/>
        </w:rPr>
        <w:t>(95-99).</w:t>
      </w:r>
      <w:r w:rsidR="009C6BB2" w:rsidRPr="00F67102">
        <w:rPr>
          <w:color w:val="000000" w:themeColor="text1"/>
        </w:rPr>
        <w:t xml:space="preserve"> AKS ve akut dekompanse KY hastalarını içeren çalışmalarda yaş, EF, DM, HT, KBH bağımsız risk faktörü olarak rapor edilmiştir </w:t>
      </w:r>
      <w:r w:rsidR="009C6BB2">
        <w:rPr>
          <w:color w:val="000000" w:themeColor="text1"/>
        </w:rPr>
        <w:t>(53-56).</w:t>
      </w:r>
      <w:r w:rsidR="009C6BB2" w:rsidRPr="00F67102">
        <w:rPr>
          <w:color w:val="000000" w:themeColor="text1"/>
        </w:rPr>
        <w:t xml:space="preserve"> </w:t>
      </w:r>
    </w:p>
    <w:p w:rsidR="009C6BB2" w:rsidRPr="00F67102" w:rsidRDefault="00EC2F2D" w:rsidP="009C6BB2">
      <w:pPr>
        <w:rPr>
          <w:color w:val="000000" w:themeColor="text1"/>
        </w:rPr>
      </w:pPr>
      <w:r>
        <w:rPr>
          <w:color w:val="000000" w:themeColor="text1"/>
        </w:rPr>
        <w:tab/>
      </w:r>
      <w:r w:rsidR="009C6BB2" w:rsidRPr="00F67102">
        <w:rPr>
          <w:color w:val="000000" w:themeColor="text1"/>
        </w:rPr>
        <w:t>Çalışmamızda kontrast öncesi ABH grubunda risk faktörleri araştırıldığında hipertansiyon varlığı, hastanede gözlenen AF, hastanede gözlenen AV blok, evde furosemid kullanımı, hastanede furosemid kullanımı, kardiyojenik şok gelişimi univariate(tek değişkenli) analizde anlamlı bulunmuştur. Ayrıca yaş ortalaması, ortalama total kolesterol düzeyi, ortalama LDL düzeyi, ortalama TSH düzeyi kontrast öncesi ABH olanlarda olmayanlara göre anlamlı olarak yüksek bulunmuştur. Multivariant(çok değişkenli) lojistik regresyon analizine göre AKS'lilerde kontrast öncesi ABH'de en anlamlı olan risk faktörleri kardiyojenik şok gelişimi ve hastanede furosemid kullanımı olmuştur.</w:t>
      </w:r>
    </w:p>
    <w:p w:rsidR="009C6BB2" w:rsidRPr="00F67102" w:rsidRDefault="00EC2F2D" w:rsidP="009C6BB2">
      <w:pPr>
        <w:rPr>
          <w:color w:val="000000" w:themeColor="text1"/>
        </w:rPr>
      </w:pPr>
      <w:r>
        <w:rPr>
          <w:color w:val="000000" w:themeColor="text1"/>
        </w:rPr>
        <w:tab/>
      </w:r>
      <w:r w:rsidR="009C6BB2" w:rsidRPr="00F67102">
        <w:rPr>
          <w:color w:val="000000" w:themeColor="text1"/>
        </w:rPr>
        <w:t>Çalışmamızda total ABH grubunda kontrast madde zaten iyi bilinen bir risk faktörü olup bunun haricindeki diğer risk faktörleri araştırılmıştır. Total ABH gelişiminde KBH, HT varlığı, hipotansiyon varlığı, hastanede gözlenen AF, hastanede gözlenen SVO, AV blok, ventriküler fibrilasyon gelişimi, hospitalizasyon sırasında öğrenilen evde rutin furosemid kullanımı, hastanede kullanılan furosemid, kardiyojenik şok gelişimi univariate</w:t>
      </w:r>
      <w:r w:rsidR="002508E0">
        <w:rPr>
          <w:color w:val="000000" w:themeColor="text1"/>
        </w:rPr>
        <w:t xml:space="preserve"> </w:t>
      </w:r>
      <w:r w:rsidR="009C6BB2" w:rsidRPr="00F67102">
        <w:rPr>
          <w:color w:val="000000" w:themeColor="text1"/>
        </w:rPr>
        <w:t xml:space="preserve">(tek değişkenli) analizde anlamlı bulunmuştur. Ayrıca yaş ortalaması, ortalama LDL düzeyi, ortalama PAB düzeyi total ABH olanlarda olmayanlara göre daha yüksek, ortalama </w:t>
      </w:r>
      <w:r w:rsidR="009C6BB2" w:rsidRPr="00F67102">
        <w:rPr>
          <w:color w:val="000000" w:themeColor="text1"/>
        </w:rPr>
        <w:lastRenderedPageBreak/>
        <w:t xml:space="preserve">hemoglobin düzeyi ve ortalama EF yüzdesi anlamlı olarak daha düşüktür. Multivariant(çok değişkenli) lojistik regresyon analizine göre AKS'lilerde ABH gelişiminde en anlamlı risk faktörleri kardiyojenik şok gelişimi, hastanede furosemid kullanımı, yaş artışı, LDL yükselmesi olmuştur. </w:t>
      </w:r>
    </w:p>
    <w:p w:rsidR="009C6BB2" w:rsidRPr="00F67102" w:rsidRDefault="00EC2F2D" w:rsidP="009C6BB2">
      <w:pPr>
        <w:rPr>
          <w:color w:val="000000" w:themeColor="text1"/>
        </w:rPr>
      </w:pPr>
      <w:r>
        <w:rPr>
          <w:color w:val="000000" w:themeColor="text1"/>
        </w:rPr>
        <w:tab/>
      </w:r>
      <w:r w:rsidR="009C6BB2" w:rsidRPr="00F67102">
        <w:rPr>
          <w:color w:val="000000" w:themeColor="text1"/>
        </w:rPr>
        <w:t>Beklenenin aksine hastanede ACEi-ARB kullanımı hem kontrast öncesi ABH gelişiminde hem de total ABH gelişiminde anlamlı olarak düşük çıkmıştır. Bu durum ilginç olarak görünse de koroner yoğunbakım ünitesinde ABH açısından dikkatli olunup, 0.3 mg/dL gibi minimal kreatinin yüksekliklerinde bile ACEi-ARB başlanmasından kaçınılmasına bağlı olabilir, benzer sonuçta büyük çalışmalar mevcuttur</w:t>
      </w:r>
      <w:r w:rsidR="009C6BB2">
        <w:rPr>
          <w:color w:val="000000" w:themeColor="text1"/>
        </w:rPr>
        <w:t xml:space="preserve"> (66,100).</w:t>
      </w:r>
      <w:r w:rsidR="009C6BB2" w:rsidRPr="00F67102">
        <w:rPr>
          <w:color w:val="000000" w:themeColor="text1"/>
        </w:rPr>
        <w:t xml:space="preserve"> Sigara öyküsü de total ABH olanlarda olmayanlara kıyasla anlamlı olarak düşük çıkmıştır. Bu durum ABH olmayanlarda erkek hasta sayısının daha fazla olmasına bağlı olabilir, benzer sonuçta çalışmalar mevcuttur </w:t>
      </w:r>
      <w:r w:rsidR="009C6BB2">
        <w:rPr>
          <w:color w:val="000000" w:themeColor="text1"/>
        </w:rPr>
        <w:t xml:space="preserve">(66, 101). </w:t>
      </w:r>
    </w:p>
    <w:p w:rsidR="009C6BB2" w:rsidRPr="00F67102" w:rsidRDefault="00EC2F2D" w:rsidP="009C6BB2">
      <w:pPr>
        <w:rPr>
          <w:color w:val="000000" w:themeColor="text1"/>
        </w:rPr>
      </w:pPr>
      <w:r>
        <w:rPr>
          <w:color w:val="000000" w:themeColor="text1"/>
        </w:rPr>
        <w:tab/>
      </w:r>
      <w:r w:rsidR="009C6BB2" w:rsidRPr="00F67102">
        <w:rPr>
          <w:color w:val="000000" w:themeColor="text1"/>
        </w:rPr>
        <w:t xml:space="preserve">Tanı anı TSH ortalamasının kontrast öncesi ABH olanlarda olmayanlara göre yüksek olmasının sebebi yaşa bağlı TSH yüksekliği olabilir. TSH'nın dahil edildiği herhangi çalışmaya rastlanmamıştır. </w:t>
      </w:r>
    </w:p>
    <w:p w:rsidR="009C6BB2" w:rsidRPr="00F67102" w:rsidRDefault="00EC2F2D" w:rsidP="009C6BB2">
      <w:pPr>
        <w:rPr>
          <w:color w:val="000000" w:themeColor="text1"/>
        </w:rPr>
      </w:pPr>
      <w:r>
        <w:rPr>
          <w:color w:val="000000" w:themeColor="text1"/>
        </w:rPr>
        <w:tab/>
      </w:r>
      <w:r w:rsidR="009C6BB2" w:rsidRPr="00F67102">
        <w:rPr>
          <w:color w:val="000000" w:themeColor="text1"/>
        </w:rPr>
        <w:t xml:space="preserve">İtalya'da yapılan 3.210 hasta sayılı bir çalışmada AKS hastalarında ABH (AKIN kriterine göre)'ye yol açan risk faktörleri çok değişkenli regresyon analizine göre yaş artışı, DM, STEMI, EF düşüklüğü anlamlı risk faktörü olarak değerlendirilmiştir. Biz STEMI ve NSTEMI ayrımı yapmadığımız için bunun etkisini bilemiyoruz. Çalışmamızda yaş, tek değişkenli analizde anlamlı iken regresyon analizinde bağımsız risk faktörü olarak anlamlı bulunmamıştır. Çalışmamızda ağır enfeksiyon, sepsis ve malignite hastalarını dışlamış olduğumuz için ve bu durumlar hiperglisemi ve kardiyak yetmezlik ile ilişkili olabileceğinden DM ve EF düzeyi bizde anlamlı çıkmamış olabilir. Ayrıca EKO'yu değerlendirmede kişisel farklılıklar da EF düzeyinin anlamlı çıkmamasında etkili olabilir. </w:t>
      </w:r>
      <w:r w:rsidR="009C6BB2">
        <w:rPr>
          <w:color w:val="000000" w:themeColor="text1"/>
        </w:rPr>
        <w:t>(101)</w:t>
      </w:r>
      <w:r w:rsidR="009C6BB2" w:rsidRPr="00F67102">
        <w:rPr>
          <w:color w:val="000000" w:themeColor="text1"/>
        </w:rPr>
        <w:t xml:space="preserve"> </w:t>
      </w:r>
    </w:p>
    <w:p w:rsidR="009C6BB2" w:rsidRPr="00F67102" w:rsidRDefault="00EC2F2D" w:rsidP="009C6BB2">
      <w:pPr>
        <w:rPr>
          <w:color w:val="000000" w:themeColor="text1"/>
        </w:rPr>
      </w:pPr>
      <w:r>
        <w:rPr>
          <w:color w:val="000000" w:themeColor="text1"/>
        </w:rPr>
        <w:tab/>
      </w:r>
      <w:r w:rsidR="009C6BB2" w:rsidRPr="00F67102">
        <w:rPr>
          <w:color w:val="000000" w:themeColor="text1"/>
        </w:rPr>
        <w:t>ACTION verilerinden oluşturulan 59.970 hastalık akut koroner sendrom grubunda ABH gelişiminde hastanede koroner by-pass yapılması (OR=3.8), hastanede kardiyak kateterizasyon girişimi (OR=4.0), kabul anı konjestif kalp yetmezliği (OR=2.4), başlangıç serum kreatinini (her 1 mg/dl artışta 1.5 kat risk artışı) multivariant analize göre en</w:t>
      </w:r>
      <w:r w:rsidR="009C6BB2">
        <w:rPr>
          <w:color w:val="000000" w:themeColor="text1"/>
        </w:rPr>
        <w:t xml:space="preserve"> anlamlı risk faktörleridir (66</w:t>
      </w:r>
      <w:r w:rsidR="009C6BB2" w:rsidRPr="00F67102">
        <w:rPr>
          <w:color w:val="000000" w:themeColor="text1"/>
        </w:rPr>
        <w:t>). Opere olan hastaların dahil edilmesi ve AKIN kriterlerinin kullanılmaması çalışmamızla farklı sonuçların çıkmasının temel sebepleri olabilir.</w:t>
      </w:r>
    </w:p>
    <w:p w:rsidR="009C6BB2" w:rsidRPr="00F67102" w:rsidRDefault="00EC2F2D" w:rsidP="009C6BB2">
      <w:pPr>
        <w:rPr>
          <w:color w:val="000000" w:themeColor="text1"/>
        </w:rPr>
      </w:pPr>
      <w:r>
        <w:rPr>
          <w:color w:val="000000" w:themeColor="text1"/>
        </w:rPr>
        <w:tab/>
      </w:r>
      <w:r w:rsidR="009C6BB2" w:rsidRPr="00F67102">
        <w:rPr>
          <w:color w:val="000000" w:themeColor="text1"/>
        </w:rPr>
        <w:t>Sun YB. ve arkadaşlarının Çin'de</w:t>
      </w:r>
      <w:r w:rsidR="009C6BB2">
        <w:rPr>
          <w:color w:val="000000" w:themeColor="text1"/>
        </w:rPr>
        <w:t xml:space="preserve"> </w:t>
      </w:r>
      <w:r w:rsidR="009C6BB2" w:rsidRPr="00F67102">
        <w:rPr>
          <w:color w:val="000000" w:themeColor="text1"/>
        </w:rPr>
        <w:t xml:space="preserve">yaptığı 1371 kişilik bir çalışmada ABH'nin multivariate analize göre belirlenen risk faktörleri konservatif tedavi alan AKS'lilerde KBH, açlık plazma glukozunda artış, diüretik kullanımı, killip IV miyokard enfarktüsü; </w:t>
      </w:r>
      <w:r w:rsidR="009C6BB2" w:rsidRPr="00F67102">
        <w:rPr>
          <w:color w:val="000000" w:themeColor="text1"/>
        </w:rPr>
        <w:lastRenderedPageBreak/>
        <w:t xml:space="preserve">koroner anjiografi yapılan grupta KBH, açlık plazma glukozunda artış, diüretik kullanımı, hipotansiyon, akut enfeksiyon; koroner by-pass yapılan grupta KBH, açlık plazma glukozunda artış, diüretik kullanımı, operasyon sonrası düşük kardiyak output sendromu varlığı olarak kabul edilmiştir </w:t>
      </w:r>
      <w:r w:rsidR="009C6BB2">
        <w:rPr>
          <w:color w:val="000000" w:themeColor="text1"/>
        </w:rPr>
        <w:t xml:space="preserve">(102). </w:t>
      </w:r>
      <w:r w:rsidR="009C6BB2" w:rsidRPr="00F67102">
        <w:rPr>
          <w:color w:val="000000" w:themeColor="text1"/>
        </w:rPr>
        <w:t>Çalışmamızda diüretik kullanımı olarak sadece furosemid değerlendirilmiş olup bizde de hem kontrast öncesi ABH gelişen hastalarda hem de toplam ABH grubunda anlamlı risk faktörü olarak bulunmuştur. Ayrıca bizde kardiyojenik şok gelişimi de hem kontrast öncesi ABH’de hem de total ABH’de önemli risk faktörü olarak bulunmuştur.</w:t>
      </w:r>
    </w:p>
    <w:p w:rsidR="009C6BB2" w:rsidRPr="00F67102" w:rsidRDefault="00EC2F2D" w:rsidP="009C6BB2">
      <w:pPr>
        <w:rPr>
          <w:color w:val="000000" w:themeColor="text1"/>
        </w:rPr>
      </w:pPr>
      <w:r>
        <w:rPr>
          <w:color w:val="000000" w:themeColor="text1"/>
        </w:rPr>
        <w:tab/>
      </w:r>
      <w:r w:rsidR="009C6BB2">
        <w:rPr>
          <w:color w:val="000000" w:themeColor="text1"/>
        </w:rPr>
        <w:t>Neves D. v</w:t>
      </w:r>
      <w:r w:rsidR="009C6BB2" w:rsidRPr="00F67102">
        <w:rPr>
          <w:color w:val="000000" w:themeColor="text1"/>
        </w:rPr>
        <w:t>e arkadaşlarının Portekiz'de yürüttüğü 7.808 adet akut koroner sendromlu hastanın incelendiği çok merkezli bir çalışmada yaş artışı, KBH, SVO/geçici iskemik atak, killip sınıf II-IV miyokard enfarktüsü, EF&lt; %50 olması ABH gelişiminde anlamlı olan risk faktörleri olarak bulunmuştur. Furosemid kullanımı bizde ABH'nın anlamlı bir risk faktörü iken bu çalışmada diüretik kullanımı sadece sınıf 1 miyokard enfarktüsü has</w:t>
      </w:r>
      <w:r w:rsidR="009C6BB2">
        <w:rPr>
          <w:color w:val="000000" w:themeColor="text1"/>
        </w:rPr>
        <w:t>tasında anlamlı bulunmuştur (100</w:t>
      </w:r>
      <w:r w:rsidR="009C6BB2" w:rsidRPr="00F67102">
        <w:rPr>
          <w:color w:val="000000" w:themeColor="text1"/>
        </w:rPr>
        <w:t xml:space="preserve">). </w:t>
      </w:r>
    </w:p>
    <w:p w:rsidR="009C6BB2" w:rsidRPr="00F67102" w:rsidRDefault="009C6BB2" w:rsidP="009C6BB2">
      <w:pPr>
        <w:rPr>
          <w:color w:val="000000" w:themeColor="text1"/>
        </w:rPr>
      </w:pPr>
      <w:r>
        <w:rPr>
          <w:color w:val="000000" w:themeColor="text1"/>
        </w:rPr>
        <w:tab/>
      </w:r>
      <w:r w:rsidRPr="00F67102">
        <w:rPr>
          <w:color w:val="000000" w:themeColor="text1"/>
        </w:rPr>
        <w:t>Küçük hasta grubunda yine AKIN kriterleri kullanılarak yapılan bir diğer çalışmada yaş, akut dekompanse kalp yetmezliği varlığı anlamlı saptanmıştır, hemoglobin düzeyi,</w:t>
      </w:r>
      <w:r w:rsidR="00A37C79">
        <w:rPr>
          <w:color w:val="000000" w:themeColor="text1"/>
        </w:rPr>
        <w:t xml:space="preserve"> </w:t>
      </w:r>
      <w:r w:rsidRPr="00F67102">
        <w:rPr>
          <w:color w:val="000000" w:themeColor="text1"/>
        </w:rPr>
        <w:t xml:space="preserve">DM, HT, STEMI'nin herhangi anlamlı bir etkisinin olmadığı rapor edilmiştir. </w:t>
      </w:r>
      <w:r>
        <w:rPr>
          <w:color w:val="000000" w:themeColor="text1"/>
        </w:rPr>
        <w:t>(103)</w:t>
      </w:r>
      <w:r>
        <w:rPr>
          <w:color w:val="FF0000"/>
        </w:rPr>
        <w:t xml:space="preserve">. </w:t>
      </w:r>
      <w:r w:rsidRPr="00F67102">
        <w:rPr>
          <w:color w:val="000000" w:themeColor="text1"/>
        </w:rPr>
        <w:t xml:space="preserve">Çalışmamıza göre yaş artışı bizde de total ABH gelişiminde anlamlı bir risk faktörüdür. DM, HT gibi sistemik hastalıklar bizde de anlamlı risk faktörü olarak bulunmamıştır. </w:t>
      </w:r>
    </w:p>
    <w:p w:rsidR="009C6BB2" w:rsidRPr="00F67102" w:rsidRDefault="00EC2F2D" w:rsidP="009C6BB2">
      <w:pPr>
        <w:rPr>
          <w:color w:val="000000" w:themeColor="text1"/>
        </w:rPr>
      </w:pPr>
      <w:r>
        <w:rPr>
          <w:color w:val="000000" w:themeColor="text1"/>
        </w:rPr>
        <w:tab/>
      </w:r>
      <w:r w:rsidR="009C6BB2" w:rsidRPr="00F67102">
        <w:rPr>
          <w:color w:val="000000" w:themeColor="text1"/>
        </w:rPr>
        <w:t xml:space="preserve">Ülkemizde AKIN kriterleri kullanılarak yapılan 289 hastalık tek merkezli bir çalışmada çok değişkenli analizde ileri yaş, KBH varlığı, hemoglobin düşüklüğü bağımsız risk faktörü olarak anlamlı bulunmuştur </w:t>
      </w:r>
      <w:r w:rsidR="009C6BB2">
        <w:rPr>
          <w:color w:val="000000" w:themeColor="text1"/>
        </w:rPr>
        <w:t xml:space="preserve">(104). </w:t>
      </w:r>
      <w:r w:rsidR="009C6BB2" w:rsidRPr="00F67102">
        <w:rPr>
          <w:color w:val="000000" w:themeColor="text1"/>
        </w:rPr>
        <w:t xml:space="preserve">Çalışmamızda yaş artışı ile total ABH arasında yakın ilişki vardır. Ancak KBH varlığı ve hemoglobin düşüklüğü univariate analizde anlamlı iken multivariate analizde anlamlı bulunmamıştır. </w:t>
      </w:r>
    </w:p>
    <w:p w:rsidR="009C6BB2" w:rsidRPr="00F67102" w:rsidRDefault="00EC2F2D" w:rsidP="009C6BB2">
      <w:pPr>
        <w:rPr>
          <w:color w:val="000000" w:themeColor="text1"/>
        </w:rPr>
      </w:pPr>
      <w:r>
        <w:rPr>
          <w:color w:val="000000" w:themeColor="text1"/>
        </w:rPr>
        <w:tab/>
      </w:r>
      <w:r w:rsidR="009C6BB2" w:rsidRPr="00F67102">
        <w:rPr>
          <w:color w:val="000000" w:themeColor="text1"/>
        </w:rPr>
        <w:t xml:space="preserve">Çalışmamızda hastanede yatış süresi, hem kontrast öncesi ABH olanlarda hem de total ABH olan hastalarda olmayanlara göre anlamlı olarak daha uzun bulunmuştur. AKS'de ABH gelişiminin hastanede yatış süresini uzattığı yönünde destekleyici çok sayıda çalışma mevcuttur </w:t>
      </w:r>
      <w:r w:rsidR="009C6BB2">
        <w:rPr>
          <w:color w:val="000000" w:themeColor="text1"/>
        </w:rPr>
        <w:t>(100,102,105,106).</w:t>
      </w:r>
    </w:p>
    <w:p w:rsidR="009C6BB2" w:rsidRPr="00F67102" w:rsidRDefault="00EC2F2D" w:rsidP="009C6BB2">
      <w:pPr>
        <w:rPr>
          <w:color w:val="000000" w:themeColor="text1"/>
        </w:rPr>
      </w:pPr>
      <w:r>
        <w:rPr>
          <w:color w:val="000000" w:themeColor="text1"/>
        </w:rPr>
        <w:tab/>
      </w:r>
      <w:r w:rsidR="009C6BB2" w:rsidRPr="00F67102">
        <w:rPr>
          <w:color w:val="000000" w:themeColor="text1"/>
        </w:rPr>
        <w:t xml:space="preserve">Çalışmamızda hastanede mortalite oranı incelendiğinde hem kontrast öncesi ABH olan hastalarda hem de total ABH olan hastalarda olmayanlara göre anlamlı olarak daha yüksek bulunmuştur. AKS hastalarında ABH gelişenlerde hastane mortalitesi artışını destekleyen çok sayıda çalışma mevcuttur </w:t>
      </w:r>
      <w:r w:rsidR="009C6BB2">
        <w:rPr>
          <w:color w:val="000000" w:themeColor="text1"/>
        </w:rPr>
        <w:t>(89,100, 107, 108).</w:t>
      </w:r>
    </w:p>
    <w:p w:rsidR="00EC2F2D" w:rsidRDefault="00EC2F2D" w:rsidP="009C6BB2">
      <w:pPr>
        <w:rPr>
          <w:color w:val="000000" w:themeColor="text1"/>
        </w:rPr>
      </w:pPr>
      <w:r>
        <w:rPr>
          <w:color w:val="000000" w:themeColor="text1"/>
        </w:rPr>
        <w:tab/>
      </w:r>
      <w:r w:rsidR="009C6BB2" w:rsidRPr="00F67102">
        <w:rPr>
          <w:color w:val="000000" w:themeColor="text1"/>
        </w:rPr>
        <w:t>ACTION çalışmasında ABH varlığı ve şiddetiyle hastane mortalitesinin anlamlı olarak yakın ilişki</w:t>
      </w:r>
      <w:r w:rsidR="009C6BB2">
        <w:rPr>
          <w:color w:val="000000" w:themeColor="text1"/>
        </w:rPr>
        <w:t>si olduğu tespit edilmiştir (66</w:t>
      </w:r>
      <w:r w:rsidR="009C6BB2" w:rsidRPr="00F67102">
        <w:rPr>
          <w:color w:val="000000" w:themeColor="text1"/>
        </w:rPr>
        <w:t xml:space="preserve">). Bizim çalışmamızda da ABH varlığı ve </w:t>
      </w:r>
      <w:r w:rsidR="009C6BB2" w:rsidRPr="00F67102">
        <w:rPr>
          <w:color w:val="000000" w:themeColor="text1"/>
        </w:rPr>
        <w:lastRenderedPageBreak/>
        <w:t>hastane mortalitesi yakın ilişkilidir.</w:t>
      </w:r>
      <w:r w:rsidR="009C6BB2">
        <w:rPr>
          <w:color w:val="000000" w:themeColor="text1"/>
        </w:rPr>
        <w:t xml:space="preserve"> </w:t>
      </w:r>
      <w:r w:rsidR="009C6BB2" w:rsidRPr="00F67102">
        <w:rPr>
          <w:color w:val="000000" w:themeColor="text1"/>
        </w:rPr>
        <w:t>Ancak bizim çalışmamızda hasta sayısının az olması nedeniyleABH şiddetine göre gruplanamamıştır. Bu nedenle ABH şiddeti ve hastane mortalitesi arasındaki ilişki</w:t>
      </w:r>
      <w:r w:rsidR="00A37C79">
        <w:rPr>
          <w:color w:val="000000" w:themeColor="text1"/>
        </w:rPr>
        <w:t xml:space="preserve"> </w:t>
      </w:r>
      <w:r w:rsidR="009C6BB2" w:rsidRPr="00F67102">
        <w:rPr>
          <w:color w:val="000000" w:themeColor="text1"/>
        </w:rPr>
        <w:t>gösterilememiştir.</w:t>
      </w:r>
      <w:r w:rsidR="009C6BB2">
        <w:rPr>
          <w:color w:val="000000" w:themeColor="text1"/>
        </w:rPr>
        <w:t xml:space="preserve"> (66</w:t>
      </w:r>
      <w:r w:rsidR="009C6BB2" w:rsidRPr="00F67102">
        <w:rPr>
          <w:color w:val="000000" w:themeColor="text1"/>
        </w:rPr>
        <w:t>).</w:t>
      </w:r>
    </w:p>
    <w:p w:rsidR="009C6BB2" w:rsidRPr="00F67102" w:rsidRDefault="00EC2F2D" w:rsidP="009C6BB2">
      <w:pPr>
        <w:rPr>
          <w:color w:val="000000" w:themeColor="text1"/>
        </w:rPr>
      </w:pPr>
      <w:r>
        <w:rPr>
          <w:color w:val="000000" w:themeColor="text1"/>
        </w:rPr>
        <w:tab/>
      </w:r>
      <w:r w:rsidR="009C6BB2" w:rsidRPr="00F67102">
        <w:rPr>
          <w:color w:val="000000" w:themeColor="text1"/>
        </w:rPr>
        <w:t>Marenzi ve arkadaşlarının 18 çalışmayı incelediği bir çalışmada AKS'li hastalarda ABH varlığı ile kısa ve uzun dönem mortalite arasında yakın ilişki bulunmuştur. Bizim çalışmamız retrospektif olduğundan sadece hastane mortalitesine yer verilmektedir</w:t>
      </w:r>
      <w:r w:rsidR="009C6BB2">
        <w:rPr>
          <w:color w:val="000000" w:themeColor="text1"/>
        </w:rPr>
        <w:t xml:space="preserve"> (109).</w:t>
      </w:r>
    </w:p>
    <w:p w:rsidR="009C6BB2" w:rsidRPr="00F67102" w:rsidRDefault="00EC2F2D" w:rsidP="009C6BB2">
      <w:pPr>
        <w:rPr>
          <w:color w:val="000000" w:themeColor="text1"/>
        </w:rPr>
      </w:pPr>
      <w:r>
        <w:rPr>
          <w:color w:val="000000" w:themeColor="text1"/>
        </w:rPr>
        <w:tab/>
      </w:r>
      <w:r w:rsidR="009C6BB2" w:rsidRPr="00F67102">
        <w:rPr>
          <w:color w:val="000000" w:themeColor="text1"/>
        </w:rPr>
        <w:t xml:space="preserve">Eksik yönler açısından incelendiğinde çalışmamızın retrospektif ve tek merkezli bir çalışma olması, çalışmamızda hastane mortalitesine yer verilirken uzun dönem mortaliteye yer verilmemesi en başta sayılabilir. AKIN kriterleri içinde olmasına rağmen oligüri ve anüri açısından hastalar değerlendirilmemiştir. Ayrıca hastaneye yatmadan önce ABH gelişen hastalar kabul anında kreatininleri yüksek olmasına rağmen takipte anlamlı artış göstermediyse ABH olarak kabul edilmemiştir. Bu sebeple hastaneye yatmadan önce ABH olanlar gözden kaçmış olabilir. Temelde kontrast nefropatiye odaklanmadığımız için kontrast madde miktarı ve türüne çalışmamızda yer verilmemiştir. </w:t>
      </w:r>
    </w:p>
    <w:p w:rsidR="009C6BB2" w:rsidRPr="00F67102" w:rsidRDefault="00EC2F2D" w:rsidP="009C6BB2">
      <w:pPr>
        <w:rPr>
          <w:color w:val="000000" w:themeColor="text1"/>
        </w:rPr>
      </w:pPr>
      <w:r>
        <w:rPr>
          <w:color w:val="000000" w:themeColor="text1"/>
        </w:rPr>
        <w:tab/>
      </w:r>
      <w:r w:rsidR="009C6BB2" w:rsidRPr="00F67102">
        <w:rPr>
          <w:color w:val="000000" w:themeColor="text1"/>
        </w:rPr>
        <w:t>Çalışmamızın artı yönleri olarak kontrast öncesi ABH'ye giren hastaların ayrıca not edilmesi, çoğu çalışmada dikkat edilmemesine rağmen dış merkezden kabul olan hastaların dahil edilmemesi, böylece risk faktörleri açısından daha güvenilir bir sonuç elde edilmesi, malignite ve sepsis gibi mortalite ve ABH gelişimini etkileyebilecek ancak akut koroner sendromla doğrudan bağlantısı olmayan durumların dışlanması sayılabilir.</w:t>
      </w:r>
    </w:p>
    <w:p w:rsidR="00AE2D0D" w:rsidRPr="00D75040" w:rsidRDefault="00EC2F2D" w:rsidP="00EC2F2D">
      <w:pPr>
        <w:rPr>
          <w:szCs w:val="24"/>
        </w:rPr>
      </w:pPr>
      <w:r>
        <w:rPr>
          <w:color w:val="000000" w:themeColor="text1"/>
        </w:rPr>
        <w:tab/>
      </w:r>
      <w:r w:rsidR="009C6BB2" w:rsidRPr="00F67102">
        <w:rPr>
          <w:color w:val="000000" w:themeColor="text1"/>
        </w:rPr>
        <w:t>Akut böbrek hasarı AKS hastalarında sık karşılaşılan ve önemli sonuçları olan bir komplikasyondur. Bu komplikasyonun gelişiminde kontrast maddelerin etkisi dışlandığında en önemli risk faktörü olarak hemodinamiyi bozan kardiyojenik şok tablosu saptanmıştır. Akciğer ödemi tablosunu ve hipervolemiyi düzeltmek için kullanılan furosemid ise renal perfüzyon bozulduğunda ya da yüksek doz kullanıldığında nefrotoksik olabilmekte ve ABH gelişimini kolaylaştırabilmekte bu sebeple diüretik kullanımında dikkatli olunması gerekmektedir.</w:t>
      </w:r>
    </w:p>
    <w:p w:rsidR="00985F52" w:rsidRPr="0057493F" w:rsidRDefault="00985F52" w:rsidP="00671EA6">
      <w:pPr>
        <w:pStyle w:val="ResimYazs"/>
        <w:rPr>
          <w:b w:val="0"/>
          <w:szCs w:val="24"/>
        </w:rPr>
      </w:pPr>
    </w:p>
    <w:p w:rsidR="00A64752" w:rsidRPr="0057493F" w:rsidRDefault="00A64752" w:rsidP="00985F52">
      <w:pPr>
        <w:rPr>
          <w:b/>
          <w:sz w:val="28"/>
          <w:szCs w:val="28"/>
        </w:rPr>
        <w:sectPr w:rsidR="00A64752" w:rsidRPr="0057493F" w:rsidSect="00DF54B2">
          <w:pgSz w:w="11906" w:h="16838" w:code="9"/>
          <w:pgMar w:top="1418" w:right="1418" w:bottom="1418" w:left="1701" w:header="709" w:footer="709" w:gutter="0"/>
          <w:cols w:space="708"/>
          <w:docGrid w:linePitch="360"/>
        </w:sectPr>
      </w:pPr>
    </w:p>
    <w:p w:rsidR="00AE2D0D" w:rsidRDefault="00AE2D0D" w:rsidP="00824071">
      <w:pPr>
        <w:pStyle w:val="Balk1"/>
      </w:pPr>
      <w:bookmarkStart w:id="50" w:name="_Toc459712420"/>
      <w:r w:rsidRPr="00C36B71">
        <w:lastRenderedPageBreak/>
        <w:t>6</w:t>
      </w:r>
      <w:r w:rsidR="00824071">
        <w:t xml:space="preserve">. </w:t>
      </w:r>
      <w:r w:rsidRPr="00C36B71">
        <w:t>SONUÇLAR</w:t>
      </w:r>
      <w:bookmarkEnd w:id="50"/>
    </w:p>
    <w:p w:rsidR="00B67936" w:rsidRPr="00F67102" w:rsidRDefault="00B67936" w:rsidP="00B67936">
      <w:pPr>
        <w:rPr>
          <w:color w:val="000000" w:themeColor="text1"/>
        </w:rPr>
      </w:pPr>
      <w:r>
        <w:rPr>
          <w:color w:val="000000" w:themeColor="text1"/>
        </w:rPr>
        <w:tab/>
      </w:r>
      <w:r w:rsidRPr="00E70FD3">
        <w:rPr>
          <w:b/>
          <w:color w:val="000000" w:themeColor="text1"/>
        </w:rPr>
        <w:t xml:space="preserve">1. </w:t>
      </w:r>
      <w:r w:rsidRPr="00F67102">
        <w:rPr>
          <w:color w:val="000000" w:themeColor="text1"/>
        </w:rPr>
        <w:t>Tez çalışmamızda toplam 321 AKS hastasında total ABH olanların, kontrast öncesi ABH olanların, kontrast ilişkili ABH olanların, hem kontrat öncesi hem de kontrast ilişkili ABH olanların insidansları sırasıyla %17.4</w:t>
      </w:r>
      <w:r>
        <w:rPr>
          <w:color w:val="000000" w:themeColor="text1"/>
        </w:rPr>
        <w:t xml:space="preserve"> </w:t>
      </w:r>
      <w:r w:rsidRPr="00F67102">
        <w:rPr>
          <w:color w:val="000000" w:themeColor="text1"/>
        </w:rPr>
        <w:t>(56) olarak, %13.7 (44), %15.2 (49), %11.5</w:t>
      </w:r>
      <w:r>
        <w:rPr>
          <w:color w:val="000000" w:themeColor="text1"/>
        </w:rPr>
        <w:t xml:space="preserve"> </w:t>
      </w:r>
      <w:r w:rsidRPr="00F67102">
        <w:rPr>
          <w:color w:val="000000" w:themeColor="text1"/>
        </w:rPr>
        <w:t>(37) olarak tespit edilmiştir.</w:t>
      </w:r>
    </w:p>
    <w:p w:rsidR="00B67936" w:rsidRPr="00F67102" w:rsidRDefault="00B67936" w:rsidP="00B67936">
      <w:pPr>
        <w:rPr>
          <w:color w:val="000000" w:themeColor="text1"/>
        </w:rPr>
      </w:pPr>
      <w:r>
        <w:rPr>
          <w:color w:val="000000" w:themeColor="text1"/>
        </w:rPr>
        <w:tab/>
      </w:r>
      <w:r w:rsidRPr="00E70FD3">
        <w:rPr>
          <w:b/>
          <w:color w:val="000000" w:themeColor="text1"/>
        </w:rPr>
        <w:t>2.</w:t>
      </w:r>
      <w:r w:rsidRPr="00F67102">
        <w:rPr>
          <w:color w:val="000000" w:themeColor="text1"/>
        </w:rPr>
        <w:t xml:space="preserve"> Multivariant</w:t>
      </w:r>
      <w:r>
        <w:rPr>
          <w:color w:val="000000" w:themeColor="text1"/>
        </w:rPr>
        <w:t xml:space="preserve"> </w:t>
      </w:r>
      <w:r w:rsidRPr="00F67102">
        <w:rPr>
          <w:color w:val="000000" w:themeColor="text1"/>
        </w:rPr>
        <w:t xml:space="preserve">(çok değişkenli) lojistik regresyon analizine göre AKS'lilerde kontrast öncesi ABH'de en anlamlı olan risk faktörleri kardiyojenik şok gelişimi ve hastanede furosemid kullanımı olmuştur. </w:t>
      </w:r>
    </w:p>
    <w:p w:rsidR="00B67936" w:rsidRPr="00F67102" w:rsidRDefault="00B67936" w:rsidP="00B67936">
      <w:pPr>
        <w:rPr>
          <w:color w:val="000000" w:themeColor="text1"/>
        </w:rPr>
      </w:pPr>
      <w:r>
        <w:rPr>
          <w:color w:val="000000" w:themeColor="text1"/>
        </w:rPr>
        <w:tab/>
      </w:r>
      <w:r w:rsidRPr="00F67102">
        <w:rPr>
          <w:color w:val="000000" w:themeColor="text1"/>
        </w:rPr>
        <w:t>Yine multivariant</w:t>
      </w:r>
      <w:r>
        <w:rPr>
          <w:color w:val="000000" w:themeColor="text1"/>
        </w:rPr>
        <w:t xml:space="preserve"> </w:t>
      </w:r>
      <w:r w:rsidRPr="00F67102">
        <w:rPr>
          <w:color w:val="000000" w:themeColor="text1"/>
        </w:rPr>
        <w:t xml:space="preserve">(çok değişkenli) lojistik regresyon analizine göre AKS'lilerde ABH gelişiminde en anlamlı risk faktörleri kardiyojenik şok gelişimi, hastanede furosemid kullanımı, yaş artışı, LDL yükselmesi olmuştur. </w:t>
      </w:r>
    </w:p>
    <w:p w:rsidR="00B67936" w:rsidRPr="00F67102" w:rsidRDefault="00B67936" w:rsidP="00B67936">
      <w:pPr>
        <w:rPr>
          <w:color w:val="000000" w:themeColor="text1"/>
        </w:rPr>
      </w:pPr>
      <w:r>
        <w:rPr>
          <w:color w:val="000000" w:themeColor="text1"/>
        </w:rPr>
        <w:tab/>
      </w:r>
      <w:r w:rsidRPr="00E70FD3">
        <w:rPr>
          <w:b/>
          <w:color w:val="000000" w:themeColor="text1"/>
        </w:rPr>
        <w:t>3.</w:t>
      </w:r>
      <w:r w:rsidRPr="00F67102">
        <w:rPr>
          <w:color w:val="000000" w:themeColor="text1"/>
        </w:rPr>
        <w:t xml:space="preserve"> Çalışmamızda hastanede mortalite oranı incelendiğinde hem kontrast öncesi ABH olan hastalarda hem de total ABH olan hastalarda olmayanlara göre anlamlı olarak daha yüksek bulunmuştur. Hastanede mortalite oranı toplam hasta grubunda, kontrast öncesi ABH'lilerde, total ABH'lilerde sırasıyla %5.9</w:t>
      </w:r>
      <w:r>
        <w:rPr>
          <w:color w:val="000000" w:themeColor="text1"/>
        </w:rPr>
        <w:t xml:space="preserve"> </w:t>
      </w:r>
      <w:r w:rsidRPr="00F67102">
        <w:rPr>
          <w:color w:val="000000" w:themeColor="text1"/>
        </w:rPr>
        <w:t>(19), %25</w:t>
      </w:r>
      <w:r>
        <w:rPr>
          <w:color w:val="000000" w:themeColor="text1"/>
        </w:rPr>
        <w:t xml:space="preserve"> </w:t>
      </w:r>
      <w:r w:rsidRPr="00F67102">
        <w:rPr>
          <w:color w:val="000000" w:themeColor="text1"/>
        </w:rPr>
        <w:t>(11), %28.6 (16) olarak tespit edilmiştir.</w:t>
      </w:r>
    </w:p>
    <w:p w:rsidR="00AE2D0D" w:rsidRPr="00911ACB" w:rsidRDefault="00B67936" w:rsidP="00B67936">
      <w:pPr>
        <w:ind w:firstLine="709"/>
        <w:rPr>
          <w:szCs w:val="24"/>
        </w:rPr>
      </w:pPr>
      <w:r w:rsidRPr="00E70FD3">
        <w:rPr>
          <w:b/>
          <w:color w:val="000000" w:themeColor="text1"/>
        </w:rPr>
        <w:t>4.</w:t>
      </w:r>
      <w:r>
        <w:rPr>
          <w:color w:val="000000" w:themeColor="text1"/>
        </w:rPr>
        <w:t xml:space="preserve"> </w:t>
      </w:r>
      <w:r w:rsidRPr="00F67102">
        <w:rPr>
          <w:color w:val="000000" w:themeColor="text1"/>
        </w:rPr>
        <w:t>Çalışmamızda  hastanede yatış süresi , hem kontrast öncesi ABH olanlarda hem de total ABH olan hastalarda olmayanlara göre anlamlı olarak daha uzun bulunmuştur. Yatış süresine bakıldığında ortanca yatış süreleri toplam hasta grubunda, kontrast öncesi ABH olanlarda, total ABH grubunda sırasıyla 4 gün</w:t>
      </w:r>
      <w:r>
        <w:rPr>
          <w:color w:val="000000" w:themeColor="text1"/>
        </w:rPr>
        <w:t xml:space="preserve"> </w:t>
      </w:r>
      <w:r w:rsidRPr="00F67102">
        <w:rPr>
          <w:color w:val="000000" w:themeColor="text1"/>
        </w:rPr>
        <w:t>(3-25), 5 gün (3-10), 5 gün (3-25) olarak saptanmıştır.</w:t>
      </w:r>
      <w:r w:rsidR="00AE2D0D">
        <w:rPr>
          <w:szCs w:val="24"/>
        </w:rPr>
        <w:t xml:space="preserve"> </w:t>
      </w:r>
    </w:p>
    <w:p w:rsidR="00AE2D0D" w:rsidRDefault="00AE2D0D">
      <w:pPr>
        <w:jc w:val="left"/>
        <w:rPr>
          <w:rFonts w:eastAsia="Times New Roman"/>
          <w:b/>
          <w:bCs/>
          <w:kern w:val="36"/>
          <w:sz w:val="28"/>
          <w:szCs w:val="48"/>
          <w:lang w:eastAsia="tr-TR"/>
        </w:rPr>
      </w:pPr>
      <w:bookmarkStart w:id="51" w:name="_Toc420428318"/>
      <w:r>
        <w:br w:type="page"/>
      </w:r>
    </w:p>
    <w:p w:rsidR="00AE2D0D" w:rsidRPr="009C0B2F" w:rsidRDefault="00AE2D0D" w:rsidP="00A80FC8">
      <w:pPr>
        <w:pStyle w:val="Balk1"/>
      </w:pPr>
      <w:bookmarkStart w:id="52" w:name="_Toc459712421"/>
      <w:bookmarkEnd w:id="51"/>
      <w:r>
        <w:lastRenderedPageBreak/>
        <w:t>7</w:t>
      </w:r>
      <w:r w:rsidR="00A80FC8">
        <w:t xml:space="preserve">. </w:t>
      </w:r>
      <w:r w:rsidRPr="009C0B2F">
        <w:t>KAYNAKLAR</w:t>
      </w:r>
      <w:bookmarkEnd w:id="52"/>
    </w:p>
    <w:p w:rsidR="00AE2D0D" w:rsidRDefault="00AE2D0D" w:rsidP="00AE2D0D">
      <w:pPr>
        <w:autoSpaceDE w:val="0"/>
        <w:autoSpaceDN w:val="0"/>
        <w:adjustRightInd w:val="0"/>
        <w:spacing w:line="240" w:lineRule="auto"/>
        <w:rPr>
          <w:b/>
          <w:sz w:val="28"/>
          <w:szCs w:val="28"/>
        </w:rPr>
      </w:pPr>
    </w:p>
    <w:p w:rsidR="00382CFB" w:rsidRDefault="00AE2D0D" w:rsidP="00B67936">
      <w:pPr>
        <w:pStyle w:val="ListeParagraf"/>
        <w:numPr>
          <w:ilvl w:val="0"/>
          <w:numId w:val="20"/>
        </w:numPr>
        <w:autoSpaceDE w:val="0"/>
        <w:autoSpaceDN w:val="0"/>
        <w:adjustRightInd w:val="0"/>
        <w:ind w:hanging="502"/>
        <w:rPr>
          <w:szCs w:val="24"/>
        </w:rPr>
      </w:pPr>
      <w:r w:rsidRPr="00951459">
        <w:rPr>
          <w:szCs w:val="24"/>
        </w:rPr>
        <w:t>Ginés P, Quintero E, Arroyo V, Terés J, Bruguera M, Rimola A, Caballería J, Rodés J, Rozman C. Compensated cirrhosis: natural history and</w:t>
      </w:r>
      <w:r>
        <w:rPr>
          <w:szCs w:val="24"/>
        </w:rPr>
        <w:t xml:space="preserve"> prognostic factors. Hepatology.</w:t>
      </w:r>
      <w:r w:rsidR="00C63C52">
        <w:rPr>
          <w:szCs w:val="24"/>
        </w:rPr>
        <w:t xml:space="preserve"> </w:t>
      </w:r>
      <w:r>
        <w:rPr>
          <w:szCs w:val="24"/>
        </w:rPr>
        <w:t xml:space="preserve"> 7:122-8,1987.</w:t>
      </w:r>
    </w:p>
    <w:p w:rsidR="00382CFB" w:rsidRPr="002508E0" w:rsidRDefault="00B67936" w:rsidP="00B67936">
      <w:pPr>
        <w:pStyle w:val="ListeParagraf"/>
        <w:numPr>
          <w:ilvl w:val="0"/>
          <w:numId w:val="20"/>
        </w:numPr>
        <w:autoSpaceDE w:val="0"/>
        <w:autoSpaceDN w:val="0"/>
        <w:adjustRightInd w:val="0"/>
        <w:ind w:hanging="502"/>
        <w:rPr>
          <w:szCs w:val="24"/>
        </w:rPr>
      </w:pPr>
      <w:r w:rsidRPr="00EA55C4">
        <w:t xml:space="preserve">Go AS, </w:t>
      </w:r>
      <w:r w:rsidRPr="002508E0">
        <w:t xml:space="preserve">Chertow GM, Fan D, McCulloch CE, Hsu CY: </w:t>
      </w:r>
      <w:r w:rsidRPr="002508E0">
        <w:rPr>
          <w:rStyle w:val="Gl"/>
          <w:b w:val="0"/>
        </w:rPr>
        <w:t>Chronic kidney disease and the risks of death, cardiovascular events, and hospitalization.</w:t>
      </w:r>
      <w:r w:rsidRPr="002508E0">
        <w:rPr>
          <w:rStyle w:val="Gl"/>
        </w:rPr>
        <w:t xml:space="preserve"> </w:t>
      </w:r>
      <w:r w:rsidRPr="002508E0">
        <w:rPr>
          <w:rStyle w:val="Vurgu"/>
          <w:i w:val="0"/>
        </w:rPr>
        <w:t>N Engl J Med</w:t>
      </w:r>
      <w:r w:rsidRPr="002508E0">
        <w:rPr>
          <w:b/>
          <w:i/>
        </w:rPr>
        <w:t>.</w:t>
      </w:r>
      <w:r w:rsidRPr="002508E0">
        <w:rPr>
          <w:b/>
        </w:rPr>
        <w:t xml:space="preserve"> </w:t>
      </w:r>
      <w:r w:rsidRPr="002508E0">
        <w:rPr>
          <w:rStyle w:val="Gl"/>
          <w:b w:val="0"/>
        </w:rPr>
        <w:t>351</w:t>
      </w:r>
      <w:r w:rsidRPr="002508E0">
        <w:t>(13)</w:t>
      </w:r>
      <w:r w:rsidRPr="002508E0">
        <w:rPr>
          <w:rStyle w:val="Gl"/>
        </w:rPr>
        <w:t xml:space="preserve">: </w:t>
      </w:r>
      <w:r w:rsidRPr="002508E0">
        <w:t>1296-1305, 2004</w:t>
      </w:r>
      <w:r w:rsidRPr="002508E0">
        <w:rPr>
          <w:noProof/>
          <w:lang w:eastAsia="tr-TR"/>
        </w:rPr>
        <w:drawing>
          <wp:inline distT="0" distB="0" distL="0" distR="0">
            <wp:extent cx="8890" cy="8890"/>
            <wp:effectExtent l="0" t="0" r="0" b="0"/>
            <wp:docPr id="4" name="Resim 1" descr="OpenURL">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penURL"/>
                    <pic:cNvPicPr>
                      <a:picLocks noChangeAspect="1" noChangeArrowheads="1"/>
                    </pic:cNvPicPr>
                  </pic:nvPicPr>
                  <pic:blipFill>
                    <a:blip r:embed="rId12"/>
                    <a:srcRect/>
                    <a:stretch>
                      <a:fillRect/>
                    </a:stretch>
                  </pic:blipFill>
                  <pic:spPr bwMode="auto">
                    <a:xfrm>
                      <a:off x="0" y="0"/>
                      <a:ext cx="8890" cy="8890"/>
                    </a:xfrm>
                    <a:prstGeom prst="rect">
                      <a:avLst/>
                    </a:prstGeom>
                    <a:noFill/>
                    <a:ln w="9525">
                      <a:noFill/>
                      <a:miter lim="800000"/>
                      <a:headEnd/>
                      <a:tailEnd/>
                    </a:ln>
                  </pic:spPr>
                </pic:pic>
              </a:graphicData>
            </a:graphic>
          </wp:inline>
        </w:drawing>
      </w:r>
      <w:r w:rsidRPr="002508E0">
        <w:t>.</w:t>
      </w:r>
    </w:p>
    <w:p w:rsidR="00382CFB" w:rsidRPr="002508E0" w:rsidRDefault="00B67936" w:rsidP="00B67936">
      <w:pPr>
        <w:pStyle w:val="ListeParagraf"/>
        <w:numPr>
          <w:ilvl w:val="0"/>
          <w:numId w:val="20"/>
        </w:numPr>
        <w:autoSpaceDE w:val="0"/>
        <w:autoSpaceDN w:val="0"/>
        <w:adjustRightInd w:val="0"/>
        <w:ind w:hanging="502"/>
        <w:rPr>
          <w:szCs w:val="24"/>
        </w:rPr>
      </w:pPr>
      <w:r w:rsidRPr="002508E0">
        <w:t xml:space="preserve">Tonelli M, Wiebe N, Culleton B, House A, Rabbat C, Fok M, </w:t>
      </w:r>
      <w:r w:rsidRPr="002508E0">
        <w:rPr>
          <w:rStyle w:val="Vurgu"/>
        </w:rPr>
        <w:t>et al</w:t>
      </w:r>
      <w:r w:rsidRPr="002508E0">
        <w:t xml:space="preserve">. </w:t>
      </w:r>
      <w:r w:rsidRPr="002508E0">
        <w:rPr>
          <w:rStyle w:val="Gl"/>
          <w:b w:val="0"/>
        </w:rPr>
        <w:t>Chronic kidney disease and mortality risk: a systematic review.</w:t>
      </w:r>
      <w:r w:rsidRPr="002508E0">
        <w:rPr>
          <w:rStyle w:val="Gl"/>
        </w:rPr>
        <w:t xml:space="preserve"> </w:t>
      </w:r>
      <w:r w:rsidRPr="002508E0">
        <w:rPr>
          <w:rStyle w:val="Vurgu"/>
          <w:i w:val="0"/>
        </w:rPr>
        <w:t>J Am Soc Nephrol</w:t>
      </w:r>
      <w:r w:rsidRPr="002508E0">
        <w:rPr>
          <w:b/>
          <w:i/>
        </w:rPr>
        <w:t>.</w:t>
      </w:r>
      <w:r w:rsidRPr="002508E0">
        <w:rPr>
          <w:b/>
        </w:rPr>
        <w:t xml:space="preserve"> </w:t>
      </w:r>
      <w:r w:rsidRPr="002508E0">
        <w:rPr>
          <w:rStyle w:val="Gl"/>
          <w:b w:val="0"/>
        </w:rPr>
        <w:t>17</w:t>
      </w:r>
      <w:r w:rsidRPr="002508E0">
        <w:t>(7)</w:t>
      </w:r>
      <w:r w:rsidRPr="002508E0">
        <w:rPr>
          <w:rStyle w:val="Gl"/>
        </w:rPr>
        <w:t xml:space="preserve">: </w:t>
      </w:r>
      <w:r w:rsidRPr="002508E0">
        <w:t>2034-2047, 2006.</w:t>
      </w:r>
    </w:p>
    <w:p w:rsidR="00655567" w:rsidRPr="00655567" w:rsidRDefault="00B67936" w:rsidP="00B67936">
      <w:pPr>
        <w:pStyle w:val="ListeParagraf"/>
        <w:numPr>
          <w:ilvl w:val="0"/>
          <w:numId w:val="20"/>
        </w:numPr>
        <w:autoSpaceDE w:val="0"/>
        <w:autoSpaceDN w:val="0"/>
        <w:adjustRightInd w:val="0"/>
        <w:ind w:hanging="502"/>
        <w:rPr>
          <w:szCs w:val="24"/>
        </w:rPr>
      </w:pPr>
      <w:r w:rsidRPr="00EA55C4">
        <w:t xml:space="preserve">Cockcroft DW, Gault MH: </w:t>
      </w:r>
      <w:r w:rsidRPr="00382CFB">
        <w:rPr>
          <w:rStyle w:val="Gl"/>
          <w:b w:val="0"/>
        </w:rPr>
        <w:t>Prediction of creatinine clearance from serum creatinine.</w:t>
      </w:r>
      <w:r w:rsidRPr="00EA55C4">
        <w:rPr>
          <w:rStyle w:val="Gl"/>
        </w:rPr>
        <w:t xml:space="preserve"> </w:t>
      </w:r>
      <w:r w:rsidRPr="00EA55C4">
        <w:rPr>
          <w:rStyle w:val="Vurgu"/>
        </w:rPr>
        <w:t>Nephron</w:t>
      </w:r>
      <w:r w:rsidRPr="00EA55C4">
        <w:t>.</w:t>
      </w:r>
      <w:r w:rsidRPr="00382CFB">
        <w:rPr>
          <w:rStyle w:val="Gl"/>
          <w:b w:val="0"/>
        </w:rPr>
        <w:t>16</w:t>
      </w:r>
      <w:r w:rsidRPr="00EA55C4">
        <w:t>(1)</w:t>
      </w:r>
      <w:r w:rsidRPr="00EA55C4">
        <w:rPr>
          <w:rStyle w:val="Gl"/>
        </w:rPr>
        <w:t>:</w:t>
      </w:r>
      <w:r w:rsidRPr="00EA55C4">
        <w:t>31-41, 1976</w:t>
      </w:r>
      <w:r w:rsidR="00382CFB">
        <w:t>.</w:t>
      </w:r>
    </w:p>
    <w:p w:rsidR="00655567" w:rsidRPr="00655567" w:rsidRDefault="00B67936" w:rsidP="00B67936">
      <w:pPr>
        <w:pStyle w:val="ListeParagraf"/>
        <w:numPr>
          <w:ilvl w:val="0"/>
          <w:numId w:val="20"/>
        </w:numPr>
        <w:autoSpaceDE w:val="0"/>
        <w:autoSpaceDN w:val="0"/>
        <w:adjustRightInd w:val="0"/>
        <w:ind w:hanging="502"/>
        <w:rPr>
          <w:szCs w:val="24"/>
        </w:rPr>
      </w:pPr>
      <w:r w:rsidRPr="00EA55C4">
        <w:t xml:space="preserve">Levey AS, Coresh J, Greene T, Stevens LA, Zhang YL, Hendriksen S. </w:t>
      </w:r>
      <w:r w:rsidRPr="00655567">
        <w:rPr>
          <w:rStyle w:val="Gl"/>
          <w:b w:val="0"/>
        </w:rPr>
        <w:t>Using standardized serum creatinine values in the modification of diet in renal disease study equation for estimating glomerular filtration rate</w:t>
      </w:r>
      <w:r w:rsidRPr="002508E0">
        <w:rPr>
          <w:rStyle w:val="Gl"/>
          <w:b w:val="0"/>
          <w:i/>
        </w:rPr>
        <w:t xml:space="preserve">. </w:t>
      </w:r>
      <w:r w:rsidRPr="002508E0">
        <w:rPr>
          <w:rStyle w:val="Vurgu"/>
          <w:i w:val="0"/>
        </w:rPr>
        <w:t>Ann Intern Med</w:t>
      </w:r>
      <w:r w:rsidRPr="002508E0">
        <w:rPr>
          <w:i/>
        </w:rPr>
        <w:t xml:space="preserve">. </w:t>
      </w:r>
      <w:r w:rsidRPr="002508E0">
        <w:rPr>
          <w:rStyle w:val="Gl"/>
          <w:b w:val="0"/>
        </w:rPr>
        <w:t>145</w:t>
      </w:r>
      <w:r w:rsidRPr="002508E0">
        <w:t>(</w:t>
      </w:r>
      <w:r w:rsidRPr="00EA55C4">
        <w:t>4)</w:t>
      </w:r>
      <w:r w:rsidRPr="00EA55C4">
        <w:rPr>
          <w:rStyle w:val="Gl"/>
        </w:rPr>
        <w:t xml:space="preserve">: </w:t>
      </w:r>
      <w:r w:rsidRPr="00EA55C4">
        <w:t>247-254, 2006</w:t>
      </w:r>
      <w:r w:rsidRPr="005A4098">
        <w:t>.</w:t>
      </w:r>
    </w:p>
    <w:p w:rsidR="00655567" w:rsidRPr="00655567" w:rsidRDefault="00B67936" w:rsidP="00B67936">
      <w:pPr>
        <w:pStyle w:val="ListeParagraf"/>
        <w:numPr>
          <w:ilvl w:val="0"/>
          <w:numId w:val="20"/>
        </w:numPr>
        <w:autoSpaceDE w:val="0"/>
        <w:autoSpaceDN w:val="0"/>
        <w:adjustRightInd w:val="0"/>
        <w:ind w:hanging="502"/>
        <w:rPr>
          <w:szCs w:val="24"/>
        </w:rPr>
      </w:pPr>
      <w:r w:rsidRPr="005A4098">
        <w:t>Mehta RL, Kellum JA, Shah SV, Molitoris BA, Ronco C, Warnock DG, et al. Acute Kidney Injury Network: report of an initiative to improve outcomes in acute kidney injury. Crit Care.11(2): 31, 2007.</w:t>
      </w:r>
    </w:p>
    <w:p w:rsidR="00655567" w:rsidRPr="00655567" w:rsidRDefault="00B67936" w:rsidP="00B67936">
      <w:pPr>
        <w:pStyle w:val="ListeParagraf"/>
        <w:numPr>
          <w:ilvl w:val="0"/>
          <w:numId w:val="20"/>
        </w:numPr>
        <w:autoSpaceDE w:val="0"/>
        <w:autoSpaceDN w:val="0"/>
        <w:adjustRightInd w:val="0"/>
        <w:ind w:hanging="502"/>
        <w:rPr>
          <w:szCs w:val="24"/>
        </w:rPr>
      </w:pPr>
      <w:r w:rsidRPr="005A4098">
        <w:t>Chertow GM, Burdick E, Honour M,Bonventre JV, Bates DW:</w:t>
      </w:r>
      <w:r w:rsidR="002508E0">
        <w:t xml:space="preserve"> </w:t>
      </w:r>
      <w:r w:rsidRPr="005A4098">
        <w:t>Acute kidney injury, mortality, length of stay and costs in hospitalized patients. J Am Soc Nephrol. 16:3365-3370, 2005.</w:t>
      </w:r>
    </w:p>
    <w:p w:rsidR="00655567" w:rsidRPr="00655567" w:rsidRDefault="00B67936" w:rsidP="00B67936">
      <w:pPr>
        <w:pStyle w:val="ListeParagraf"/>
        <w:numPr>
          <w:ilvl w:val="0"/>
          <w:numId w:val="20"/>
        </w:numPr>
        <w:autoSpaceDE w:val="0"/>
        <w:autoSpaceDN w:val="0"/>
        <w:adjustRightInd w:val="0"/>
        <w:ind w:hanging="502"/>
        <w:rPr>
          <w:szCs w:val="24"/>
        </w:rPr>
      </w:pPr>
      <w:r w:rsidRPr="005A4098">
        <w:t xml:space="preserve">Uchino S, Bellomo R, Goldsmith D, Bates S, Ronco C. An assessment of the RIFLE criteria for acute renal failure in hospitalized patients. Crit Care Med. 34(7): 1913-1917, 2006. </w:t>
      </w:r>
    </w:p>
    <w:p w:rsidR="00655567" w:rsidRPr="00655567" w:rsidRDefault="00B67936" w:rsidP="00B67936">
      <w:pPr>
        <w:pStyle w:val="ListeParagraf"/>
        <w:numPr>
          <w:ilvl w:val="0"/>
          <w:numId w:val="20"/>
        </w:numPr>
        <w:autoSpaceDE w:val="0"/>
        <w:autoSpaceDN w:val="0"/>
        <w:adjustRightInd w:val="0"/>
        <w:ind w:hanging="502"/>
        <w:rPr>
          <w:szCs w:val="24"/>
        </w:rPr>
      </w:pPr>
      <w:r w:rsidRPr="005A4098">
        <w:t xml:space="preserve">Nash K, Hafeez A, Hou S. Hospital-acquired renal insufficiency. Am J Kidney Dis. 39(5): 930-936, 2002. </w:t>
      </w:r>
    </w:p>
    <w:p w:rsidR="00655567" w:rsidRPr="00655567" w:rsidRDefault="00B67936" w:rsidP="00B67936">
      <w:pPr>
        <w:pStyle w:val="ListeParagraf"/>
        <w:numPr>
          <w:ilvl w:val="0"/>
          <w:numId w:val="20"/>
        </w:numPr>
        <w:autoSpaceDE w:val="0"/>
        <w:autoSpaceDN w:val="0"/>
        <w:adjustRightInd w:val="0"/>
        <w:ind w:hanging="502"/>
        <w:rPr>
          <w:szCs w:val="24"/>
        </w:rPr>
      </w:pPr>
      <w:r w:rsidRPr="005A4098">
        <w:t>Bagshaw SM, George C, Dinu I, Bellomo R. A multi-centre evaluation of the RIFLE criteria for early acute kidney injury in critically ill patients. Nephrol Dial Transplant. 23(4): 1203-1210, 2008.</w:t>
      </w:r>
    </w:p>
    <w:p w:rsidR="00655567" w:rsidRPr="00655567" w:rsidRDefault="00B67936" w:rsidP="00B67936">
      <w:pPr>
        <w:pStyle w:val="ListeParagraf"/>
        <w:numPr>
          <w:ilvl w:val="0"/>
          <w:numId w:val="20"/>
        </w:numPr>
        <w:autoSpaceDE w:val="0"/>
        <w:autoSpaceDN w:val="0"/>
        <w:adjustRightInd w:val="0"/>
        <w:ind w:hanging="502"/>
        <w:rPr>
          <w:szCs w:val="24"/>
        </w:rPr>
      </w:pPr>
      <w:r w:rsidRPr="005A4098">
        <w:t xml:space="preserve">Ostermann M, Chang RW. Acute kidney injury in the intensive care unit according to RIFLE. Crit Care Med. 35(8): 1837-1843, 2007. </w:t>
      </w:r>
    </w:p>
    <w:p w:rsidR="00655567" w:rsidRPr="00655567" w:rsidRDefault="00B67936" w:rsidP="00B67936">
      <w:pPr>
        <w:pStyle w:val="ListeParagraf"/>
        <w:numPr>
          <w:ilvl w:val="0"/>
          <w:numId w:val="20"/>
        </w:numPr>
        <w:autoSpaceDE w:val="0"/>
        <w:autoSpaceDN w:val="0"/>
        <w:adjustRightInd w:val="0"/>
        <w:ind w:hanging="502"/>
        <w:rPr>
          <w:szCs w:val="24"/>
        </w:rPr>
      </w:pPr>
      <w:r w:rsidRPr="005A4098">
        <w:lastRenderedPageBreak/>
        <w:t xml:space="preserve">Hoste EA, Clermont G, Kersten A, Venkataraman R, Angus DC, De Bacquer D, et al. RIFLE criteria for acute kidney injury are associated with hospital mortality in critically ill patients: a cohort analysis. Crit Care. 10(3): 73, 2006.  </w:t>
      </w:r>
    </w:p>
    <w:p w:rsidR="00655567" w:rsidRPr="00655567" w:rsidRDefault="00B67936" w:rsidP="00B67936">
      <w:pPr>
        <w:pStyle w:val="ListeParagraf"/>
        <w:numPr>
          <w:ilvl w:val="0"/>
          <w:numId w:val="20"/>
        </w:numPr>
        <w:autoSpaceDE w:val="0"/>
        <w:autoSpaceDN w:val="0"/>
        <w:adjustRightInd w:val="0"/>
        <w:ind w:hanging="502"/>
        <w:rPr>
          <w:szCs w:val="24"/>
        </w:rPr>
      </w:pPr>
      <w:r w:rsidRPr="005A4098">
        <w:t xml:space="preserve">Uchino S, Kellum JA, Bellomo R, Doig GS, Morimatsu, Morgera S, et al.Acute Renal Failure in Critically Ill Patients. JAMA. 294(17): 813818, 2005. </w:t>
      </w:r>
    </w:p>
    <w:p w:rsidR="00655567" w:rsidRPr="00655567" w:rsidRDefault="00B67936" w:rsidP="00B67936">
      <w:pPr>
        <w:pStyle w:val="ListeParagraf"/>
        <w:numPr>
          <w:ilvl w:val="0"/>
          <w:numId w:val="20"/>
        </w:numPr>
        <w:autoSpaceDE w:val="0"/>
        <w:autoSpaceDN w:val="0"/>
        <w:adjustRightInd w:val="0"/>
        <w:ind w:hanging="502"/>
        <w:rPr>
          <w:szCs w:val="24"/>
        </w:rPr>
      </w:pPr>
      <w:r w:rsidRPr="005A4098">
        <w:t xml:space="preserve">Cartin-Ceba R, Haugen EN, Iscimen R, Trillo-Alvarez C, Juncos L, Gajic O. Evaluation of "Loss" and "End stage renal disease" after acute kidney injury defined by the Risk, Injury, Failure, Loss and ESRD classification in critically ill patients. Intensive Care Med. 35: 2087–2095, 2009. </w:t>
      </w:r>
    </w:p>
    <w:p w:rsidR="00655567" w:rsidRPr="00655567" w:rsidRDefault="00B67936" w:rsidP="00B67936">
      <w:pPr>
        <w:pStyle w:val="ListeParagraf"/>
        <w:numPr>
          <w:ilvl w:val="0"/>
          <w:numId w:val="20"/>
        </w:numPr>
        <w:autoSpaceDE w:val="0"/>
        <w:autoSpaceDN w:val="0"/>
        <w:adjustRightInd w:val="0"/>
        <w:ind w:hanging="502"/>
        <w:rPr>
          <w:szCs w:val="24"/>
        </w:rPr>
      </w:pPr>
      <w:r w:rsidRPr="005A4098">
        <w:t xml:space="preserve">Feltes CM, Van Eyk J, Rabb H. Distant-organ changes after acute kidney injury. Nephron Physiol. 109(4): 80-84, 2008. </w:t>
      </w:r>
    </w:p>
    <w:p w:rsidR="00655567" w:rsidRPr="00655567" w:rsidRDefault="00B67936" w:rsidP="00B67936">
      <w:pPr>
        <w:pStyle w:val="ListeParagraf"/>
        <w:numPr>
          <w:ilvl w:val="0"/>
          <w:numId w:val="20"/>
        </w:numPr>
        <w:autoSpaceDE w:val="0"/>
        <w:autoSpaceDN w:val="0"/>
        <w:adjustRightInd w:val="0"/>
        <w:ind w:hanging="502"/>
        <w:rPr>
          <w:szCs w:val="24"/>
        </w:rPr>
      </w:pPr>
      <w:r w:rsidRPr="005A4098">
        <w:t xml:space="preserve">Bagshaw SM, George C, Bellomo R. ANZICS Database Management Committe. A comparison of the RIFLE and AKIN criteria for acute kidney injury in critically ill patients. Nephrol Dial Transplant. 23(5): 1569-1574, 2008. </w:t>
      </w:r>
    </w:p>
    <w:p w:rsidR="00655567" w:rsidRPr="00655567" w:rsidRDefault="00B67936" w:rsidP="00B67936">
      <w:pPr>
        <w:pStyle w:val="ListeParagraf"/>
        <w:numPr>
          <w:ilvl w:val="0"/>
          <w:numId w:val="20"/>
        </w:numPr>
        <w:autoSpaceDE w:val="0"/>
        <w:autoSpaceDN w:val="0"/>
        <w:adjustRightInd w:val="0"/>
        <w:ind w:hanging="502"/>
        <w:rPr>
          <w:szCs w:val="24"/>
        </w:rPr>
      </w:pPr>
      <w:r w:rsidRPr="005A4098">
        <w:t>Devarajan, P. Update on mechanisms of ischemic acute kidney injury. J Am Soc Nephrol. 17: 1503-1520, 2006.</w:t>
      </w:r>
    </w:p>
    <w:p w:rsidR="00655567" w:rsidRPr="00655567" w:rsidRDefault="00B67936" w:rsidP="00B67936">
      <w:pPr>
        <w:pStyle w:val="ListeParagraf"/>
        <w:numPr>
          <w:ilvl w:val="0"/>
          <w:numId w:val="20"/>
        </w:numPr>
        <w:autoSpaceDE w:val="0"/>
        <w:autoSpaceDN w:val="0"/>
        <w:adjustRightInd w:val="0"/>
        <w:ind w:hanging="502"/>
        <w:rPr>
          <w:szCs w:val="24"/>
        </w:rPr>
      </w:pPr>
      <w:r w:rsidRPr="005A4098">
        <w:t>Thurman, J.M. Triggers of inflammation after renal ischemia/reperfusion. Clin Immunol. 123: 7-13, 2007.</w:t>
      </w:r>
    </w:p>
    <w:p w:rsidR="00655567" w:rsidRPr="00655567" w:rsidRDefault="00B67936" w:rsidP="00B67936">
      <w:pPr>
        <w:pStyle w:val="ListeParagraf"/>
        <w:numPr>
          <w:ilvl w:val="0"/>
          <w:numId w:val="20"/>
        </w:numPr>
        <w:autoSpaceDE w:val="0"/>
        <w:autoSpaceDN w:val="0"/>
        <w:adjustRightInd w:val="0"/>
        <w:ind w:hanging="502"/>
        <w:rPr>
          <w:szCs w:val="24"/>
        </w:rPr>
      </w:pPr>
      <w:r w:rsidRPr="005A4098">
        <w:t>Badr KF, Kelley VE, Rennke HG, Brenner BM. Roles for thromboxane A2 and</w:t>
      </w:r>
      <w:r>
        <w:t xml:space="preserve"> </w:t>
      </w:r>
      <w:r w:rsidRPr="005A4098">
        <w:t xml:space="preserve">leukotrienes in endotoxin-induced acute renal failure. Kidney Int. 30: 474-480, 1986. </w:t>
      </w:r>
    </w:p>
    <w:p w:rsidR="00655567" w:rsidRPr="00655567" w:rsidRDefault="00B67936" w:rsidP="00B67936">
      <w:pPr>
        <w:pStyle w:val="ListeParagraf"/>
        <w:numPr>
          <w:ilvl w:val="0"/>
          <w:numId w:val="20"/>
        </w:numPr>
        <w:autoSpaceDE w:val="0"/>
        <w:autoSpaceDN w:val="0"/>
        <w:adjustRightInd w:val="0"/>
        <w:ind w:hanging="502"/>
        <w:rPr>
          <w:szCs w:val="24"/>
        </w:rPr>
      </w:pPr>
      <w:r w:rsidRPr="005A4098">
        <w:t xml:space="preserve">Venkataraman R, Kellum JA, Defining acute renal failure: the RIFLE criteria. J Intensive Care Med 22: 187-193, 2007. </w:t>
      </w:r>
    </w:p>
    <w:p w:rsidR="00655567" w:rsidRPr="00655567" w:rsidRDefault="00B67936" w:rsidP="00B67936">
      <w:pPr>
        <w:pStyle w:val="ListeParagraf"/>
        <w:numPr>
          <w:ilvl w:val="0"/>
          <w:numId w:val="20"/>
        </w:numPr>
        <w:autoSpaceDE w:val="0"/>
        <w:autoSpaceDN w:val="0"/>
        <w:adjustRightInd w:val="0"/>
        <w:ind w:hanging="502"/>
        <w:rPr>
          <w:szCs w:val="24"/>
        </w:rPr>
      </w:pPr>
      <w:r w:rsidRPr="005A4098">
        <w:t xml:space="preserve">Bonventre JV, Zuk A. Ischemic acute renal failure: an inflammatory disease? Kidney Int. 66: 480-485, 2004. </w:t>
      </w:r>
    </w:p>
    <w:p w:rsidR="00655567" w:rsidRPr="00655567" w:rsidRDefault="00B67936" w:rsidP="00B67936">
      <w:pPr>
        <w:pStyle w:val="ListeParagraf"/>
        <w:numPr>
          <w:ilvl w:val="0"/>
          <w:numId w:val="20"/>
        </w:numPr>
        <w:autoSpaceDE w:val="0"/>
        <w:autoSpaceDN w:val="0"/>
        <w:adjustRightInd w:val="0"/>
        <w:ind w:hanging="502"/>
        <w:rPr>
          <w:szCs w:val="24"/>
        </w:rPr>
      </w:pPr>
      <w:r w:rsidRPr="005A4098">
        <w:t>Bonegio R, and W. Lieberthal, Role of apoptosis in the pathogenesis of acute</w:t>
      </w:r>
      <w:r>
        <w:t xml:space="preserve"> </w:t>
      </w:r>
      <w:r w:rsidRPr="005A4098">
        <w:t xml:space="preserve">renal failure. Curr Opin Nephrol Hypertens. 11: 301-308, 2002. </w:t>
      </w:r>
    </w:p>
    <w:p w:rsidR="00655567" w:rsidRPr="00655567" w:rsidRDefault="00B67936" w:rsidP="00B67936">
      <w:pPr>
        <w:pStyle w:val="ListeParagraf"/>
        <w:numPr>
          <w:ilvl w:val="0"/>
          <w:numId w:val="20"/>
        </w:numPr>
        <w:autoSpaceDE w:val="0"/>
        <w:autoSpaceDN w:val="0"/>
        <w:adjustRightInd w:val="0"/>
        <w:ind w:hanging="502"/>
        <w:rPr>
          <w:szCs w:val="24"/>
        </w:rPr>
      </w:pPr>
      <w:r w:rsidRPr="005A4098">
        <w:t>Jefferson JA, Schrier RW. Pathophysiology and Etiology of Acute Renal Failure. In: Feehally J, Floege J, Johnson RJ, editors. Comprenensive Clinical Nephrology 3rd edition. Philadelphia:</w:t>
      </w:r>
      <w:r w:rsidR="00655567">
        <w:t xml:space="preserve"> </w:t>
      </w:r>
      <w:r w:rsidRPr="005A4098">
        <w:t>Elsevier :755-770, 2007.</w:t>
      </w:r>
    </w:p>
    <w:p w:rsidR="00655567" w:rsidRPr="00655567" w:rsidRDefault="00B67936" w:rsidP="00B67936">
      <w:pPr>
        <w:pStyle w:val="ListeParagraf"/>
        <w:numPr>
          <w:ilvl w:val="0"/>
          <w:numId w:val="20"/>
        </w:numPr>
        <w:autoSpaceDE w:val="0"/>
        <w:autoSpaceDN w:val="0"/>
        <w:adjustRightInd w:val="0"/>
        <w:ind w:hanging="502"/>
        <w:rPr>
          <w:szCs w:val="24"/>
        </w:rPr>
      </w:pPr>
      <w:r w:rsidRPr="005A4098">
        <w:t>Feest TG, Round A, Hamad S. Incidence of severe acute renal failure in adults: results of a community based study. BMJ. 306:481-83, 1993.</w:t>
      </w:r>
    </w:p>
    <w:p w:rsidR="00655567" w:rsidRPr="00655567" w:rsidRDefault="00B67936" w:rsidP="00B67936">
      <w:pPr>
        <w:pStyle w:val="ListeParagraf"/>
        <w:numPr>
          <w:ilvl w:val="0"/>
          <w:numId w:val="20"/>
        </w:numPr>
        <w:autoSpaceDE w:val="0"/>
        <w:autoSpaceDN w:val="0"/>
        <w:adjustRightInd w:val="0"/>
        <w:ind w:hanging="502"/>
        <w:rPr>
          <w:szCs w:val="24"/>
        </w:rPr>
      </w:pPr>
      <w:r w:rsidRPr="005A4098">
        <w:t xml:space="preserve">Tonelli M, Gill J, Pandeya S, Bohm C, Levin A, Kiberd BA. Barriers to blood pressure control and angiotensin enzyme inhibitor use in Canadian patients with chronic renal insufficiency. Nephrol Dial Transplant. 17(8):l426-33, 2002. </w:t>
      </w:r>
    </w:p>
    <w:p w:rsidR="00655567" w:rsidRPr="00655567" w:rsidRDefault="00B67936" w:rsidP="00B67936">
      <w:pPr>
        <w:pStyle w:val="ListeParagraf"/>
        <w:numPr>
          <w:ilvl w:val="0"/>
          <w:numId w:val="20"/>
        </w:numPr>
        <w:autoSpaceDE w:val="0"/>
        <w:autoSpaceDN w:val="0"/>
        <w:adjustRightInd w:val="0"/>
        <w:ind w:hanging="502"/>
        <w:rPr>
          <w:szCs w:val="24"/>
        </w:rPr>
      </w:pPr>
      <w:r w:rsidRPr="005A4098">
        <w:lastRenderedPageBreak/>
        <w:t xml:space="preserve">Huerta C, Castellsague J, Varas-Lorenzo C, Garcia Rodriguez LA. Nonsteroidal antiinflammatory drugs and risk of ARF in the general population. Am J Kidney Dis. 45(3):531-539, 2005. </w:t>
      </w:r>
    </w:p>
    <w:p w:rsidR="00655567" w:rsidRPr="00655567" w:rsidRDefault="00B67936" w:rsidP="00B67936">
      <w:pPr>
        <w:pStyle w:val="ListeParagraf"/>
        <w:numPr>
          <w:ilvl w:val="0"/>
          <w:numId w:val="20"/>
        </w:numPr>
        <w:autoSpaceDE w:val="0"/>
        <w:autoSpaceDN w:val="0"/>
        <w:adjustRightInd w:val="0"/>
        <w:ind w:hanging="502"/>
        <w:rPr>
          <w:szCs w:val="24"/>
        </w:rPr>
      </w:pPr>
      <w:r w:rsidRPr="005A4098">
        <w:t xml:space="preserve">Szalat A, Krasilnikov I, Bloch A, Meir K, Rubinger D, Mevo- rach D. Acute Renal Failure and Interstitial Nephritis in a Patient Treated With Rofecoxib: Case Report and Review of the Literature. Arthritis Rheum. 51:670-673, 2004. </w:t>
      </w:r>
    </w:p>
    <w:p w:rsidR="00655567" w:rsidRPr="00655567" w:rsidRDefault="00B67936" w:rsidP="00B67936">
      <w:pPr>
        <w:pStyle w:val="ListeParagraf"/>
        <w:numPr>
          <w:ilvl w:val="0"/>
          <w:numId w:val="20"/>
        </w:numPr>
        <w:autoSpaceDE w:val="0"/>
        <w:autoSpaceDN w:val="0"/>
        <w:adjustRightInd w:val="0"/>
        <w:ind w:hanging="502"/>
        <w:rPr>
          <w:szCs w:val="24"/>
        </w:rPr>
      </w:pPr>
      <w:r w:rsidRPr="005A4098">
        <w:t>Bagshaw SM, George C, Bellomo R. ANZICS Database Management Committee. Early acute kidney injury and sepsis: a multicentre evaluation. Crit Care. 12(2): 47, 2008.</w:t>
      </w:r>
    </w:p>
    <w:p w:rsidR="00655567" w:rsidRPr="00655567" w:rsidRDefault="00B67936" w:rsidP="00B67936">
      <w:pPr>
        <w:pStyle w:val="ListeParagraf"/>
        <w:numPr>
          <w:ilvl w:val="0"/>
          <w:numId w:val="20"/>
        </w:numPr>
        <w:autoSpaceDE w:val="0"/>
        <w:autoSpaceDN w:val="0"/>
        <w:adjustRightInd w:val="0"/>
        <w:ind w:hanging="502"/>
        <w:rPr>
          <w:szCs w:val="24"/>
        </w:rPr>
      </w:pPr>
      <w:r w:rsidRPr="005A4098">
        <w:t>Thomsen HS, Morcos SK. Radiographic contrast media. BJU Int. 86(Suppl 1):1–10, 2000.</w:t>
      </w:r>
    </w:p>
    <w:p w:rsidR="00655567" w:rsidRPr="00655567" w:rsidRDefault="00B67936" w:rsidP="00B67936">
      <w:pPr>
        <w:pStyle w:val="ListeParagraf"/>
        <w:numPr>
          <w:ilvl w:val="0"/>
          <w:numId w:val="20"/>
        </w:numPr>
        <w:autoSpaceDE w:val="0"/>
        <w:autoSpaceDN w:val="0"/>
        <w:adjustRightInd w:val="0"/>
        <w:ind w:hanging="502"/>
        <w:rPr>
          <w:szCs w:val="24"/>
        </w:rPr>
      </w:pPr>
      <w:r w:rsidRPr="005A4098">
        <w:t>Kagan A, Sheikh-Hamad D. Contrast-induced kidney injury: focus on modifiable risk factors and prophylactic strategies. Clin Cardiol. 33(2): 62-66, 2010.</w:t>
      </w:r>
    </w:p>
    <w:p w:rsidR="00655567" w:rsidRPr="00655567" w:rsidRDefault="00B67936" w:rsidP="00B67936">
      <w:pPr>
        <w:pStyle w:val="ListeParagraf"/>
        <w:numPr>
          <w:ilvl w:val="0"/>
          <w:numId w:val="20"/>
        </w:numPr>
        <w:autoSpaceDE w:val="0"/>
        <w:autoSpaceDN w:val="0"/>
        <w:adjustRightInd w:val="0"/>
        <w:ind w:hanging="502"/>
        <w:rPr>
          <w:szCs w:val="24"/>
        </w:rPr>
      </w:pPr>
      <w:r w:rsidRPr="005A4098">
        <w:t xml:space="preserve">Apselin P, Aubry P, Fransson SG, Strasser R, Willenbrock R, Berg KJ, et al. for the NEPHRIC Study Investigators. Nephrotoxic effects in high risk patients undergoing angiography. N Engl J Med. 348(6):491-499, 2003. </w:t>
      </w:r>
    </w:p>
    <w:p w:rsidR="00655567" w:rsidRPr="00655567" w:rsidRDefault="00B67936" w:rsidP="00B67936">
      <w:pPr>
        <w:pStyle w:val="ListeParagraf"/>
        <w:numPr>
          <w:ilvl w:val="0"/>
          <w:numId w:val="20"/>
        </w:numPr>
        <w:autoSpaceDE w:val="0"/>
        <w:autoSpaceDN w:val="0"/>
        <w:adjustRightInd w:val="0"/>
        <w:ind w:hanging="502"/>
        <w:rPr>
          <w:szCs w:val="24"/>
        </w:rPr>
      </w:pPr>
      <w:r w:rsidRPr="005A4098">
        <w:t xml:space="preserve">Asif A, Epstein M. Prevention of radiocontrast-induced neph- ropathy. Am J Kidney Dis. 44: 12-24, 2004. </w:t>
      </w:r>
    </w:p>
    <w:p w:rsidR="00655567" w:rsidRPr="00655567" w:rsidRDefault="00B67936" w:rsidP="00B67936">
      <w:pPr>
        <w:pStyle w:val="ListeParagraf"/>
        <w:numPr>
          <w:ilvl w:val="0"/>
          <w:numId w:val="20"/>
        </w:numPr>
        <w:autoSpaceDE w:val="0"/>
        <w:autoSpaceDN w:val="0"/>
        <w:adjustRightInd w:val="0"/>
        <w:ind w:hanging="502"/>
        <w:rPr>
          <w:szCs w:val="24"/>
        </w:rPr>
      </w:pPr>
      <w:r w:rsidRPr="005A4098">
        <w:t>Merten GJ, Burgess WP, Gray LV, Holleman JH, Roush TS, Kowalchuk GJ, et al. Prevention of contrast-induced nephropathy with sodium bicarbonate: a randomized controlled trial. JAMA. 291: 2328-2334, 2004.</w:t>
      </w:r>
    </w:p>
    <w:p w:rsidR="00655567" w:rsidRPr="00655567" w:rsidRDefault="00B67936" w:rsidP="00B67936">
      <w:pPr>
        <w:pStyle w:val="ListeParagraf"/>
        <w:numPr>
          <w:ilvl w:val="0"/>
          <w:numId w:val="20"/>
        </w:numPr>
        <w:autoSpaceDE w:val="0"/>
        <w:autoSpaceDN w:val="0"/>
        <w:adjustRightInd w:val="0"/>
        <w:ind w:hanging="502"/>
        <w:rPr>
          <w:szCs w:val="24"/>
        </w:rPr>
      </w:pPr>
      <w:r w:rsidRPr="005A4098">
        <w:t>Gruberg L, Mehran R, Dangas G, Mintz GS, Waksman R, Kent KM, et al. Acute renal failure requiring dialysis after percutaneous coronary interventions. Catheter Cardiovasc Interv .52:409-416, 2001.</w:t>
      </w:r>
    </w:p>
    <w:p w:rsidR="00655567" w:rsidRPr="00655567" w:rsidRDefault="00B67936" w:rsidP="00B67936">
      <w:pPr>
        <w:pStyle w:val="ListeParagraf"/>
        <w:numPr>
          <w:ilvl w:val="0"/>
          <w:numId w:val="20"/>
        </w:numPr>
        <w:autoSpaceDE w:val="0"/>
        <w:autoSpaceDN w:val="0"/>
        <w:adjustRightInd w:val="0"/>
        <w:ind w:hanging="502"/>
        <w:rPr>
          <w:szCs w:val="24"/>
        </w:rPr>
      </w:pPr>
      <w:r w:rsidRPr="005A4098">
        <w:t>Lameire N, Vanholder R. Pathophysiologic features and prevention of human and experimental acute tubular necrosis. J Am Soc Nephrol.12: 20-32, 2001.</w:t>
      </w:r>
    </w:p>
    <w:p w:rsidR="00655567" w:rsidRPr="00655567" w:rsidRDefault="00B67936" w:rsidP="00B67936">
      <w:pPr>
        <w:pStyle w:val="ListeParagraf"/>
        <w:numPr>
          <w:ilvl w:val="0"/>
          <w:numId w:val="20"/>
        </w:numPr>
        <w:autoSpaceDE w:val="0"/>
        <w:autoSpaceDN w:val="0"/>
        <w:adjustRightInd w:val="0"/>
        <w:ind w:hanging="502"/>
        <w:rPr>
          <w:szCs w:val="24"/>
        </w:rPr>
      </w:pPr>
      <w:r w:rsidRPr="005A4098">
        <w:t>Hesselink DA, Bouamar R, van Gelder T. The pharmacogenetics of calcineurin inhibitor-related nephrotoxicity. Ther Drug Monit. 32(4): 387-393, 2001.</w:t>
      </w:r>
    </w:p>
    <w:p w:rsidR="00655567" w:rsidRPr="00655567" w:rsidRDefault="00B67936" w:rsidP="00B67936">
      <w:pPr>
        <w:pStyle w:val="ListeParagraf"/>
        <w:numPr>
          <w:ilvl w:val="0"/>
          <w:numId w:val="20"/>
        </w:numPr>
        <w:autoSpaceDE w:val="0"/>
        <w:autoSpaceDN w:val="0"/>
        <w:adjustRightInd w:val="0"/>
        <w:ind w:hanging="502"/>
        <w:rPr>
          <w:szCs w:val="24"/>
        </w:rPr>
      </w:pPr>
      <w:r w:rsidRPr="005A4098">
        <w:t>Brady HR, Brenner BM. Acute renal failure. In: Hauser K, Longo B, Jameson F, editors. Harrison’s Principles of Internal Medicine. 16th ed. New York: Mv Graw Hill.1644–53, 2005.</w:t>
      </w:r>
    </w:p>
    <w:p w:rsidR="00655567" w:rsidRDefault="00655567" w:rsidP="00655567">
      <w:pPr>
        <w:pStyle w:val="ListeParagraf"/>
        <w:autoSpaceDE w:val="0"/>
        <w:autoSpaceDN w:val="0"/>
        <w:adjustRightInd w:val="0"/>
        <w:ind w:left="502"/>
      </w:pPr>
    </w:p>
    <w:p w:rsidR="00655567" w:rsidRPr="00655567" w:rsidRDefault="00655567" w:rsidP="00655567">
      <w:pPr>
        <w:pStyle w:val="ListeParagraf"/>
        <w:autoSpaceDE w:val="0"/>
        <w:autoSpaceDN w:val="0"/>
        <w:adjustRightInd w:val="0"/>
        <w:ind w:left="502"/>
        <w:rPr>
          <w:szCs w:val="24"/>
        </w:rPr>
      </w:pPr>
    </w:p>
    <w:p w:rsidR="00655567" w:rsidRPr="00655567" w:rsidRDefault="00B67936" w:rsidP="00B67936">
      <w:pPr>
        <w:pStyle w:val="ListeParagraf"/>
        <w:numPr>
          <w:ilvl w:val="0"/>
          <w:numId w:val="20"/>
        </w:numPr>
        <w:autoSpaceDE w:val="0"/>
        <w:autoSpaceDN w:val="0"/>
        <w:adjustRightInd w:val="0"/>
        <w:ind w:hanging="502"/>
        <w:rPr>
          <w:szCs w:val="24"/>
        </w:rPr>
      </w:pPr>
      <w:r w:rsidRPr="005A4098">
        <w:lastRenderedPageBreak/>
        <w:t>Johnson RJ, Floege J, Rennke HG, Feehally J. Introduction to Glomerular Disease: Pathogenesis and Classification. In: Feehally J, Floege J, Johnson RJ, editors. Comprenensive Clinical Nephrology 3rd edition. Philadelphia:</w:t>
      </w:r>
      <w:r w:rsidR="002508E0">
        <w:t xml:space="preserve"> </w:t>
      </w:r>
      <w:r w:rsidRPr="005A4098">
        <w:t>Elsevier. 181-191, 2007.</w:t>
      </w:r>
    </w:p>
    <w:p w:rsidR="00655567" w:rsidRPr="00655567" w:rsidRDefault="00B67936" w:rsidP="00B67936">
      <w:pPr>
        <w:pStyle w:val="ListeParagraf"/>
        <w:numPr>
          <w:ilvl w:val="0"/>
          <w:numId w:val="20"/>
        </w:numPr>
        <w:autoSpaceDE w:val="0"/>
        <w:autoSpaceDN w:val="0"/>
        <w:adjustRightInd w:val="0"/>
        <w:ind w:hanging="502"/>
        <w:rPr>
          <w:szCs w:val="24"/>
        </w:rPr>
      </w:pPr>
      <w:r w:rsidRPr="005A4098">
        <w:t xml:space="preserve">Ympa YP, Sakr Y, Reinhart K, Vincent JL. Has mortality from acute renal failure decreased? Asystematic review of the literature. Am J Med. 118:827-32, 2005. </w:t>
      </w:r>
    </w:p>
    <w:p w:rsidR="00655567" w:rsidRPr="00655567" w:rsidRDefault="00B67936" w:rsidP="00B67936">
      <w:pPr>
        <w:pStyle w:val="ListeParagraf"/>
        <w:numPr>
          <w:ilvl w:val="0"/>
          <w:numId w:val="20"/>
        </w:numPr>
        <w:autoSpaceDE w:val="0"/>
        <w:autoSpaceDN w:val="0"/>
        <w:adjustRightInd w:val="0"/>
        <w:ind w:hanging="502"/>
        <w:rPr>
          <w:szCs w:val="24"/>
        </w:rPr>
      </w:pPr>
      <w:r w:rsidRPr="005A4098">
        <w:t xml:space="preserve">Liu KD, Chertow GM. Acute Renal Failure In: Fauci AS, Braunwald E, Kasper DL, Hauser SL, Longo DL, Jameson JL, Loscalzo J (eds). Harrıson’s Principles of Internal Medicine..USA. Mc Graw Hill Medical. 1752-61, 2008. </w:t>
      </w:r>
    </w:p>
    <w:p w:rsidR="00655567" w:rsidRPr="00655567" w:rsidRDefault="00B67936" w:rsidP="00B67936">
      <w:pPr>
        <w:pStyle w:val="ListeParagraf"/>
        <w:numPr>
          <w:ilvl w:val="0"/>
          <w:numId w:val="20"/>
        </w:numPr>
        <w:autoSpaceDE w:val="0"/>
        <w:autoSpaceDN w:val="0"/>
        <w:adjustRightInd w:val="0"/>
        <w:ind w:hanging="502"/>
        <w:rPr>
          <w:szCs w:val="24"/>
        </w:rPr>
      </w:pPr>
      <w:r w:rsidRPr="005A4098">
        <w:t>Jafferson JA, Thurman JM, Schrier RW. Pathophysiology and etiology of acute kidney injury. In: Floege J, Jonhson RJ, Feehally J (eds). Comprehensive Clinical Nephrology..  St. Louis, Misouri, USA. Elsevier. 797-813, 2010.</w:t>
      </w:r>
    </w:p>
    <w:p w:rsidR="00655567" w:rsidRPr="00655567" w:rsidRDefault="00B67936" w:rsidP="00B67936">
      <w:pPr>
        <w:pStyle w:val="ListeParagraf"/>
        <w:numPr>
          <w:ilvl w:val="0"/>
          <w:numId w:val="20"/>
        </w:numPr>
        <w:autoSpaceDE w:val="0"/>
        <w:autoSpaceDN w:val="0"/>
        <w:adjustRightInd w:val="0"/>
        <w:ind w:hanging="502"/>
        <w:rPr>
          <w:szCs w:val="24"/>
        </w:rPr>
      </w:pPr>
      <w:r w:rsidRPr="005A4098">
        <w:t>Anderson S. Proteinuria. In: Greenberg A, Coffman T, ed. Primer on Kidney Diseases. 3rd ed. San Diego, CA: Academic Press. 42-46, 2001.</w:t>
      </w:r>
    </w:p>
    <w:p w:rsidR="00655567" w:rsidRPr="00655567" w:rsidRDefault="00B67936" w:rsidP="00B67936">
      <w:pPr>
        <w:pStyle w:val="ListeParagraf"/>
        <w:numPr>
          <w:ilvl w:val="0"/>
          <w:numId w:val="20"/>
        </w:numPr>
        <w:autoSpaceDE w:val="0"/>
        <w:autoSpaceDN w:val="0"/>
        <w:adjustRightInd w:val="0"/>
        <w:ind w:hanging="502"/>
        <w:rPr>
          <w:szCs w:val="24"/>
        </w:rPr>
      </w:pPr>
      <w:r w:rsidRPr="005A4098">
        <w:t>Kasiske BL, Keane WF. Laboratory assessment of renal disease. In Brenner BM, ed. The Kidney 6th ed. Philadelphia, WB Saunders Co. 1129-1170, 2000.</w:t>
      </w:r>
    </w:p>
    <w:p w:rsidR="00655567" w:rsidRPr="00655567" w:rsidRDefault="00B67936" w:rsidP="00B67936">
      <w:pPr>
        <w:pStyle w:val="ListeParagraf"/>
        <w:numPr>
          <w:ilvl w:val="0"/>
          <w:numId w:val="20"/>
        </w:numPr>
        <w:autoSpaceDE w:val="0"/>
        <w:autoSpaceDN w:val="0"/>
        <w:adjustRightInd w:val="0"/>
        <w:ind w:hanging="502"/>
        <w:rPr>
          <w:szCs w:val="24"/>
        </w:rPr>
      </w:pPr>
      <w:r w:rsidRPr="005A4098">
        <w:t xml:space="preserve">Horoz M, Özgür Ö. Akut Böbrek Yetmezliği. Harran Ünv Tıp Fak Dergisi. 1(3): 48-63, 2004. </w:t>
      </w:r>
    </w:p>
    <w:p w:rsidR="00655567" w:rsidRPr="00655567" w:rsidRDefault="00B67936" w:rsidP="00B67936">
      <w:pPr>
        <w:pStyle w:val="ListeParagraf"/>
        <w:numPr>
          <w:ilvl w:val="0"/>
          <w:numId w:val="20"/>
        </w:numPr>
        <w:autoSpaceDE w:val="0"/>
        <w:autoSpaceDN w:val="0"/>
        <w:adjustRightInd w:val="0"/>
        <w:ind w:hanging="502"/>
        <w:rPr>
          <w:szCs w:val="24"/>
        </w:rPr>
      </w:pPr>
      <w:r w:rsidRPr="005A4098">
        <w:t>Tanrıverdi MH, Karadağ F. Acute Kidney Failure. Konuralp Tıp Dergisi. 2(1):4652, 2010.</w:t>
      </w:r>
    </w:p>
    <w:p w:rsidR="00655567" w:rsidRPr="00655567" w:rsidRDefault="00B67936" w:rsidP="00B67936">
      <w:pPr>
        <w:pStyle w:val="ListeParagraf"/>
        <w:numPr>
          <w:ilvl w:val="0"/>
          <w:numId w:val="20"/>
        </w:numPr>
        <w:autoSpaceDE w:val="0"/>
        <w:autoSpaceDN w:val="0"/>
        <w:adjustRightInd w:val="0"/>
        <w:ind w:hanging="502"/>
        <w:rPr>
          <w:szCs w:val="24"/>
        </w:rPr>
      </w:pPr>
      <w:r w:rsidRPr="005A4098">
        <w:t>Polat M. Çocuk Yoğun Bakım Ünitesinde İzlenen Olgularda Akut Böbrek Yetmezliği Gelişme Sıklığı, Nedenleri ve Ölüm Oranları (tez). Ankara: Gazi Üniversitesi Tıp Fakültesi; 2009.</w:t>
      </w:r>
    </w:p>
    <w:p w:rsidR="00655567" w:rsidRPr="00655567" w:rsidRDefault="00B67936" w:rsidP="00B67936">
      <w:pPr>
        <w:pStyle w:val="ListeParagraf"/>
        <w:numPr>
          <w:ilvl w:val="0"/>
          <w:numId w:val="20"/>
        </w:numPr>
        <w:autoSpaceDE w:val="0"/>
        <w:autoSpaceDN w:val="0"/>
        <w:adjustRightInd w:val="0"/>
        <w:ind w:hanging="502"/>
        <w:rPr>
          <w:szCs w:val="24"/>
        </w:rPr>
      </w:pPr>
      <w:r w:rsidRPr="005A4098">
        <w:t>Bellomo R, Ronco C, Kellum JA, Mehta RL, Palevsky P. Acute Dialysis Quality Initiative workgroup. Acute renal failure - definition, outcome measures, animal models, fluid therapy and information technology needs: the Second International Consensus Conference of the Acute Dialysis Quality Initiative (ADQI) Group. Crit Care. 8(4): 204-212, 2004.</w:t>
      </w:r>
    </w:p>
    <w:p w:rsidR="00655567" w:rsidRPr="00655567" w:rsidRDefault="00B67936" w:rsidP="00B67936">
      <w:pPr>
        <w:pStyle w:val="ListeParagraf"/>
        <w:numPr>
          <w:ilvl w:val="0"/>
          <w:numId w:val="20"/>
        </w:numPr>
        <w:autoSpaceDE w:val="0"/>
        <w:autoSpaceDN w:val="0"/>
        <w:adjustRightInd w:val="0"/>
        <w:ind w:hanging="502"/>
        <w:rPr>
          <w:szCs w:val="24"/>
        </w:rPr>
      </w:pPr>
      <w:r w:rsidRPr="005A4098">
        <w:t xml:space="preserve">Lopes JA, Fernandes P, Jorge S, Gonçalves S, Alvarez A, Costa e Silva Z, et al. Acute kidney injury in intensive care unit patients: a comparison between the RIFLE and the Acute Kidney Injury Network classifications. Crit Care. 12(4): R110, 2008. </w:t>
      </w:r>
    </w:p>
    <w:p w:rsidR="00655567" w:rsidRPr="00655567" w:rsidRDefault="00655567" w:rsidP="00655567">
      <w:pPr>
        <w:pStyle w:val="ListeParagraf"/>
        <w:autoSpaceDE w:val="0"/>
        <w:autoSpaceDN w:val="0"/>
        <w:adjustRightInd w:val="0"/>
        <w:ind w:left="502"/>
        <w:rPr>
          <w:szCs w:val="24"/>
        </w:rPr>
      </w:pPr>
    </w:p>
    <w:p w:rsidR="00655567" w:rsidRPr="00655567" w:rsidRDefault="00655567" w:rsidP="00655567">
      <w:pPr>
        <w:pStyle w:val="ListeParagraf"/>
        <w:autoSpaceDE w:val="0"/>
        <w:autoSpaceDN w:val="0"/>
        <w:adjustRightInd w:val="0"/>
        <w:ind w:left="502"/>
        <w:rPr>
          <w:szCs w:val="24"/>
        </w:rPr>
      </w:pPr>
    </w:p>
    <w:p w:rsidR="00655567" w:rsidRPr="00655567" w:rsidRDefault="00B67936" w:rsidP="00B67936">
      <w:pPr>
        <w:pStyle w:val="ListeParagraf"/>
        <w:numPr>
          <w:ilvl w:val="0"/>
          <w:numId w:val="20"/>
        </w:numPr>
        <w:autoSpaceDE w:val="0"/>
        <w:autoSpaceDN w:val="0"/>
        <w:adjustRightInd w:val="0"/>
        <w:ind w:hanging="502"/>
        <w:rPr>
          <w:szCs w:val="24"/>
        </w:rPr>
      </w:pPr>
      <w:r w:rsidRPr="00655567">
        <w:rPr>
          <w:rFonts w:eastAsiaTheme="minorHAnsi"/>
        </w:rPr>
        <w:lastRenderedPageBreak/>
        <w:t>Goldberg A, Hammerman H, Petcherski S, Zdorovyak A, Yalonetsky S, Kapeliovich M, et al. Inhospital and 1-year mortality of patients who develop worsening renal function following acute ST-elevation myocardial infarction. Am Heart J.150: 330–337, 2005.</w:t>
      </w:r>
    </w:p>
    <w:p w:rsidR="00655567" w:rsidRPr="00655567" w:rsidRDefault="00B67936" w:rsidP="00B67936">
      <w:pPr>
        <w:pStyle w:val="ListeParagraf"/>
        <w:numPr>
          <w:ilvl w:val="0"/>
          <w:numId w:val="20"/>
        </w:numPr>
        <w:autoSpaceDE w:val="0"/>
        <w:autoSpaceDN w:val="0"/>
        <w:adjustRightInd w:val="0"/>
        <w:ind w:hanging="502"/>
        <w:rPr>
          <w:szCs w:val="24"/>
        </w:rPr>
      </w:pPr>
      <w:r w:rsidRPr="00655567">
        <w:rPr>
          <w:rFonts w:eastAsiaTheme="minorHAnsi"/>
        </w:rPr>
        <w:t>Marenzi G, Moltrasio M, Assanelli E, Lauri G, Marana I, Grazi M, et al. Impact of cardiac and renal dysfunction on inhospital morbidity and mortality of patients with acute myocardial infarction undergoing primary angioplasty. Am Heart J .153: 755–762, 2007.</w:t>
      </w:r>
    </w:p>
    <w:p w:rsidR="00655567" w:rsidRPr="00655567" w:rsidRDefault="00B67936" w:rsidP="00B67936">
      <w:pPr>
        <w:pStyle w:val="ListeParagraf"/>
        <w:numPr>
          <w:ilvl w:val="0"/>
          <w:numId w:val="20"/>
        </w:numPr>
        <w:autoSpaceDE w:val="0"/>
        <w:autoSpaceDN w:val="0"/>
        <w:adjustRightInd w:val="0"/>
        <w:ind w:hanging="502"/>
        <w:rPr>
          <w:szCs w:val="24"/>
        </w:rPr>
      </w:pPr>
      <w:r w:rsidRPr="00655567">
        <w:rPr>
          <w:rFonts w:eastAsiaTheme="minorHAnsi"/>
        </w:rPr>
        <w:t>Nohria A, Hasselblad V, Stebbins A, Pauly DF, Fonarow GC, Shah M, et al. Cardiorenal interactions: insights from the ESCAPE trial. J Am Coll Cardiol. 51: 1268–1274, 2008.</w:t>
      </w:r>
    </w:p>
    <w:p w:rsidR="00655567" w:rsidRPr="00655567" w:rsidRDefault="00B67936" w:rsidP="00B67936">
      <w:pPr>
        <w:pStyle w:val="ListeParagraf"/>
        <w:numPr>
          <w:ilvl w:val="0"/>
          <w:numId w:val="20"/>
        </w:numPr>
        <w:autoSpaceDE w:val="0"/>
        <w:autoSpaceDN w:val="0"/>
        <w:adjustRightInd w:val="0"/>
        <w:ind w:hanging="502"/>
        <w:rPr>
          <w:szCs w:val="24"/>
        </w:rPr>
      </w:pPr>
      <w:r w:rsidRPr="00655567">
        <w:rPr>
          <w:rFonts w:eastAsiaTheme="minorHAnsi"/>
        </w:rPr>
        <w:t>Cowie MR, Komajda M, Murray-Thomas T, Underwood J, Ticho B. POSH Investigators: Prevalence and impact of worsening renal function in patients hospitalized with decompensated heart failure: results of the prospective outcomesstudy in heart failure (POSH). Eur Heart J 27: 1216–1222, 2006.</w:t>
      </w:r>
    </w:p>
    <w:p w:rsidR="00655567" w:rsidRPr="00655567" w:rsidRDefault="00B67936" w:rsidP="00B67936">
      <w:pPr>
        <w:pStyle w:val="ListeParagraf"/>
        <w:numPr>
          <w:ilvl w:val="0"/>
          <w:numId w:val="20"/>
        </w:numPr>
        <w:autoSpaceDE w:val="0"/>
        <w:autoSpaceDN w:val="0"/>
        <w:adjustRightInd w:val="0"/>
        <w:ind w:hanging="502"/>
        <w:rPr>
          <w:szCs w:val="24"/>
        </w:rPr>
      </w:pPr>
      <w:r w:rsidRPr="00655567">
        <w:rPr>
          <w:rFonts w:eastAsiaTheme="minorHAnsi"/>
        </w:rPr>
        <w:t>Logeart D, Tabet JY, Hittinger L, Thabut G, Jourdain P, Maison P, et al. Transient worsening of renal function during hospitalization for acute heart failure alters outcome. Int J Cardiol. 127: 228–232, 2008.</w:t>
      </w:r>
    </w:p>
    <w:p w:rsidR="00655567" w:rsidRPr="00655567" w:rsidRDefault="00B67936" w:rsidP="00B67936">
      <w:pPr>
        <w:pStyle w:val="ListeParagraf"/>
        <w:numPr>
          <w:ilvl w:val="0"/>
          <w:numId w:val="20"/>
        </w:numPr>
        <w:autoSpaceDE w:val="0"/>
        <w:autoSpaceDN w:val="0"/>
        <w:adjustRightInd w:val="0"/>
        <w:ind w:hanging="502"/>
        <w:rPr>
          <w:szCs w:val="24"/>
        </w:rPr>
      </w:pPr>
      <w:r w:rsidRPr="00655567">
        <w:rPr>
          <w:rFonts w:eastAsiaTheme="minorHAnsi"/>
        </w:rPr>
        <w:t>Amin AP, Spertus JA, Reid KJ, Lan X, Buchanan DM, Decker C, et al. The prognostic importance of worsening renal function during an acute myocardial infarction on long-term mortality. Am Heart J. 16: 1065–1071, 2010.</w:t>
      </w:r>
    </w:p>
    <w:p w:rsidR="00655567" w:rsidRPr="00655567" w:rsidRDefault="00B67936" w:rsidP="00B67936">
      <w:pPr>
        <w:pStyle w:val="ListeParagraf"/>
        <w:numPr>
          <w:ilvl w:val="0"/>
          <w:numId w:val="20"/>
        </w:numPr>
        <w:autoSpaceDE w:val="0"/>
        <w:autoSpaceDN w:val="0"/>
        <w:adjustRightInd w:val="0"/>
        <w:ind w:hanging="502"/>
        <w:rPr>
          <w:szCs w:val="24"/>
        </w:rPr>
      </w:pPr>
      <w:r w:rsidRPr="00655567">
        <w:rPr>
          <w:rFonts w:eastAsiaTheme="minorHAnsi"/>
        </w:rPr>
        <w:t>Mielniczuk LM, Pfeffer MA, Lewis EF, Blazing MA, de Lemos JA, Mohanavelu S, et al. Acute decline in renal function, inflammation, and cardiovascular risk after an acute coronary syndrome. Clin J Am Soc Nephrol. 4: 1811–1817, 2009.</w:t>
      </w:r>
    </w:p>
    <w:p w:rsidR="00655567" w:rsidRPr="00655567" w:rsidRDefault="00B67936" w:rsidP="00B67936">
      <w:pPr>
        <w:pStyle w:val="ListeParagraf"/>
        <w:numPr>
          <w:ilvl w:val="0"/>
          <w:numId w:val="20"/>
        </w:numPr>
        <w:autoSpaceDE w:val="0"/>
        <w:autoSpaceDN w:val="0"/>
        <w:adjustRightInd w:val="0"/>
        <w:ind w:hanging="502"/>
        <w:rPr>
          <w:szCs w:val="24"/>
        </w:rPr>
      </w:pPr>
      <w:r w:rsidRPr="00655567">
        <w:rPr>
          <w:rFonts w:eastAsiaTheme="minorHAnsi"/>
        </w:rPr>
        <w:t>Metra M, Nodari S, Parrinello G, Bordonali T, Bugatti S, Danesi R, et al. Worsening renal function in patients hospitalised for acute heart failure: clinical implications and prognostic significance. Eur J Heart Fail.10: 188–195, 2008.</w:t>
      </w:r>
    </w:p>
    <w:p w:rsidR="00655567" w:rsidRPr="00655567" w:rsidRDefault="00B67936" w:rsidP="00B67936">
      <w:pPr>
        <w:pStyle w:val="ListeParagraf"/>
        <w:numPr>
          <w:ilvl w:val="0"/>
          <w:numId w:val="20"/>
        </w:numPr>
        <w:autoSpaceDE w:val="0"/>
        <w:autoSpaceDN w:val="0"/>
        <w:adjustRightInd w:val="0"/>
        <w:ind w:hanging="502"/>
        <w:rPr>
          <w:szCs w:val="24"/>
        </w:rPr>
      </w:pPr>
      <w:r w:rsidRPr="00655567">
        <w:rPr>
          <w:rFonts w:eastAsiaTheme="minorHAnsi"/>
        </w:rPr>
        <w:t>Thomsen HS, European Society of Urogenital Radiology guidelines on contrast media application, Curr. Opin. Urol. 17: 70–76, 2007.</w:t>
      </w:r>
    </w:p>
    <w:p w:rsidR="00655567" w:rsidRPr="00655567" w:rsidRDefault="00B67936" w:rsidP="00B67936">
      <w:pPr>
        <w:pStyle w:val="ListeParagraf"/>
        <w:numPr>
          <w:ilvl w:val="0"/>
          <w:numId w:val="20"/>
        </w:numPr>
        <w:autoSpaceDE w:val="0"/>
        <w:autoSpaceDN w:val="0"/>
        <w:adjustRightInd w:val="0"/>
        <w:ind w:hanging="502"/>
        <w:rPr>
          <w:szCs w:val="24"/>
        </w:rPr>
      </w:pPr>
      <w:r w:rsidRPr="00655567">
        <w:rPr>
          <w:rFonts w:eastAsiaTheme="minorHAnsi"/>
        </w:rPr>
        <w:t>Barrett BJ, Parfrey PS, Prevention of nephrotoxicity induced by radiocontrast agents, N. Engl. J. Med. 33: 1449–1450, 1994.</w:t>
      </w:r>
    </w:p>
    <w:p w:rsidR="00655567" w:rsidRPr="00655567" w:rsidRDefault="00B67936" w:rsidP="00B67936">
      <w:pPr>
        <w:pStyle w:val="ListeParagraf"/>
        <w:numPr>
          <w:ilvl w:val="0"/>
          <w:numId w:val="20"/>
        </w:numPr>
        <w:autoSpaceDE w:val="0"/>
        <w:autoSpaceDN w:val="0"/>
        <w:adjustRightInd w:val="0"/>
        <w:ind w:hanging="502"/>
        <w:rPr>
          <w:szCs w:val="24"/>
        </w:rPr>
      </w:pPr>
      <w:r w:rsidRPr="00655567">
        <w:rPr>
          <w:rFonts w:eastAsiaTheme="minorHAnsi"/>
        </w:rPr>
        <w:t>Barrett BJ, Contrast nephrotoxicity, J. Am. Soc. Nephrol. 5: 125–137, 1994.</w:t>
      </w:r>
    </w:p>
    <w:p w:rsidR="00655567" w:rsidRPr="00655567" w:rsidRDefault="00B67936" w:rsidP="00B67936">
      <w:pPr>
        <w:pStyle w:val="ListeParagraf"/>
        <w:numPr>
          <w:ilvl w:val="0"/>
          <w:numId w:val="20"/>
        </w:numPr>
        <w:autoSpaceDE w:val="0"/>
        <w:autoSpaceDN w:val="0"/>
        <w:adjustRightInd w:val="0"/>
        <w:ind w:hanging="502"/>
        <w:rPr>
          <w:szCs w:val="24"/>
        </w:rPr>
      </w:pPr>
      <w:r w:rsidRPr="00655567">
        <w:rPr>
          <w:rFonts w:eastAsiaTheme="minorHAnsi"/>
        </w:rPr>
        <w:lastRenderedPageBreak/>
        <w:t>McCullough PA, Wolyn R, Rocher LL, Levin RN, O'Neill WW. Acute renal failure after coronary intervention: incidence, risk factors, and relationship to mortality, Am. J. Med. 103: 368–375, 1997.</w:t>
      </w:r>
    </w:p>
    <w:p w:rsidR="00655567" w:rsidRPr="00655567" w:rsidRDefault="00B67936" w:rsidP="00B67936">
      <w:pPr>
        <w:pStyle w:val="ListeParagraf"/>
        <w:numPr>
          <w:ilvl w:val="0"/>
          <w:numId w:val="20"/>
        </w:numPr>
        <w:autoSpaceDE w:val="0"/>
        <w:autoSpaceDN w:val="0"/>
        <w:adjustRightInd w:val="0"/>
        <w:ind w:hanging="502"/>
        <w:rPr>
          <w:szCs w:val="24"/>
        </w:rPr>
      </w:pPr>
      <w:r w:rsidRPr="00655567">
        <w:rPr>
          <w:rFonts w:eastAsiaTheme="minorHAnsi"/>
        </w:rPr>
        <w:t>Tepel M, Aspelin P, Lameire N, Contrast-induced nephropathy: a clinical and evidence-based approach, Circulation. 113: 1799–1806, 2006.</w:t>
      </w:r>
    </w:p>
    <w:p w:rsidR="00655567" w:rsidRPr="00655567" w:rsidRDefault="00B67936" w:rsidP="00B67936">
      <w:pPr>
        <w:pStyle w:val="ListeParagraf"/>
        <w:numPr>
          <w:ilvl w:val="0"/>
          <w:numId w:val="20"/>
        </w:numPr>
        <w:autoSpaceDE w:val="0"/>
        <w:autoSpaceDN w:val="0"/>
        <w:adjustRightInd w:val="0"/>
        <w:ind w:hanging="502"/>
        <w:rPr>
          <w:szCs w:val="24"/>
        </w:rPr>
      </w:pPr>
      <w:r w:rsidRPr="00655567">
        <w:rPr>
          <w:rFonts w:eastAsiaTheme="minorHAnsi"/>
        </w:rPr>
        <w:t>Amin AP, Salisbury AC, McCullough PA, Gosch K, Spertus JA, Venkitachalam L, et al.</w:t>
      </w:r>
      <w:r w:rsidR="00655567">
        <w:rPr>
          <w:rFonts w:eastAsiaTheme="minorHAnsi"/>
        </w:rPr>
        <w:t xml:space="preserve"> </w:t>
      </w:r>
      <w:r w:rsidRPr="00655567">
        <w:rPr>
          <w:rFonts w:eastAsiaTheme="minorHAnsi"/>
        </w:rPr>
        <w:t>Trends in the incidence of acute kidney injury in patients hospitalized with acute myocardial infarction, Arch. Intern. Med. 172 (3): 246–253, 2012.</w:t>
      </w:r>
    </w:p>
    <w:p w:rsidR="00655567" w:rsidRPr="00655567" w:rsidRDefault="00B67936" w:rsidP="00B67936">
      <w:pPr>
        <w:pStyle w:val="ListeParagraf"/>
        <w:numPr>
          <w:ilvl w:val="0"/>
          <w:numId w:val="20"/>
        </w:numPr>
        <w:autoSpaceDE w:val="0"/>
        <w:autoSpaceDN w:val="0"/>
        <w:adjustRightInd w:val="0"/>
        <w:ind w:hanging="502"/>
        <w:rPr>
          <w:szCs w:val="24"/>
        </w:rPr>
      </w:pPr>
      <w:r w:rsidRPr="00655567">
        <w:rPr>
          <w:rFonts w:eastAsiaTheme="minorHAnsi"/>
        </w:rPr>
        <w:t>Fox CS, Muntner P, Chen AY, Alexander KP,  Roe MT,  Wiviott SD. Short-term outcomes of acute myocardial infarction in patients with acute kidney injury: a report from the national cardiovascular data registry, Circulation 125 (3): 497–504, 2012.</w:t>
      </w:r>
    </w:p>
    <w:p w:rsidR="00655567" w:rsidRPr="00655567" w:rsidRDefault="00B67936" w:rsidP="00B67936">
      <w:pPr>
        <w:pStyle w:val="ListeParagraf"/>
        <w:numPr>
          <w:ilvl w:val="0"/>
          <w:numId w:val="20"/>
        </w:numPr>
        <w:autoSpaceDE w:val="0"/>
        <w:autoSpaceDN w:val="0"/>
        <w:adjustRightInd w:val="0"/>
        <w:ind w:hanging="502"/>
        <w:rPr>
          <w:szCs w:val="24"/>
        </w:rPr>
      </w:pPr>
      <w:r w:rsidRPr="00655567">
        <w:rPr>
          <w:rFonts w:eastAsiaTheme="minorHAnsi"/>
        </w:rPr>
        <w:t>Katzberg RW. Urography into the 21st century: new contrast media, renal handling, imaging characteristics, and nephrotoxicity, Radiology 204: 297–312, 1997.</w:t>
      </w:r>
    </w:p>
    <w:p w:rsidR="00655567" w:rsidRPr="00655567" w:rsidRDefault="00B67936" w:rsidP="00B67936">
      <w:pPr>
        <w:pStyle w:val="ListeParagraf"/>
        <w:numPr>
          <w:ilvl w:val="0"/>
          <w:numId w:val="20"/>
        </w:numPr>
        <w:autoSpaceDE w:val="0"/>
        <w:autoSpaceDN w:val="0"/>
        <w:adjustRightInd w:val="0"/>
        <w:ind w:hanging="502"/>
        <w:rPr>
          <w:szCs w:val="24"/>
        </w:rPr>
      </w:pPr>
      <w:r w:rsidRPr="00655567">
        <w:rPr>
          <w:rFonts w:eastAsiaTheme="minorHAnsi"/>
        </w:rPr>
        <w:t>Rihal CS, Textor SC, Grill DE, Berger PB, Ting HH, Best PJ, et al. Incidence and prognostic importance of acute renal failure after percutaneous coronary intervention, Circulation 105: 2259–2264, 2002.</w:t>
      </w:r>
    </w:p>
    <w:p w:rsidR="00655567" w:rsidRPr="00655567" w:rsidRDefault="00B67936" w:rsidP="00B67936">
      <w:pPr>
        <w:pStyle w:val="ListeParagraf"/>
        <w:numPr>
          <w:ilvl w:val="0"/>
          <w:numId w:val="20"/>
        </w:numPr>
        <w:autoSpaceDE w:val="0"/>
        <w:autoSpaceDN w:val="0"/>
        <w:adjustRightInd w:val="0"/>
        <w:ind w:hanging="502"/>
        <w:rPr>
          <w:szCs w:val="24"/>
        </w:rPr>
      </w:pPr>
      <w:r w:rsidRPr="00655567">
        <w:rPr>
          <w:rFonts w:eastAsiaTheme="minorHAnsi"/>
        </w:rPr>
        <w:t>Solomon R, Werner C, Mann D, D'Elia J, Silva P. Effects of saline, mannitol, and furosemide to prevent acute decreases in renal function induced by radiocontrast</w:t>
      </w:r>
      <w:r w:rsidR="00655567">
        <w:rPr>
          <w:rFonts w:eastAsiaTheme="minorHAnsi"/>
        </w:rPr>
        <w:t xml:space="preserve"> </w:t>
      </w:r>
      <w:r w:rsidRPr="00655567">
        <w:rPr>
          <w:rFonts w:eastAsiaTheme="minorHAnsi"/>
        </w:rPr>
        <w:t>agents, N. Engl. J. Med. 331: 1416–1420, 1994.</w:t>
      </w:r>
    </w:p>
    <w:p w:rsidR="00655567" w:rsidRPr="00655567" w:rsidRDefault="00B67936" w:rsidP="00B67936">
      <w:pPr>
        <w:pStyle w:val="ListeParagraf"/>
        <w:numPr>
          <w:ilvl w:val="0"/>
          <w:numId w:val="20"/>
        </w:numPr>
        <w:autoSpaceDE w:val="0"/>
        <w:autoSpaceDN w:val="0"/>
        <w:adjustRightInd w:val="0"/>
        <w:ind w:hanging="502"/>
        <w:rPr>
          <w:szCs w:val="24"/>
        </w:rPr>
      </w:pPr>
      <w:r w:rsidRPr="00655567">
        <w:rPr>
          <w:rFonts w:eastAsiaTheme="minorHAnsi"/>
        </w:rPr>
        <w:t>DiMari J, Megyesi J, Udvarhelyi N, Price P, Davis R, Safirstein R. N-acetyl cysteine</w:t>
      </w:r>
      <w:r w:rsidR="00655567">
        <w:rPr>
          <w:rFonts w:eastAsiaTheme="minorHAnsi"/>
        </w:rPr>
        <w:t xml:space="preserve"> </w:t>
      </w:r>
      <w:r w:rsidRPr="00655567">
        <w:rPr>
          <w:rFonts w:eastAsiaTheme="minorHAnsi"/>
        </w:rPr>
        <w:t>ameliorates ischemic renal failure, Am.</w:t>
      </w:r>
      <w:r w:rsidR="00655567" w:rsidRPr="00655567">
        <w:rPr>
          <w:rFonts w:eastAsiaTheme="minorHAnsi"/>
        </w:rPr>
        <w:t xml:space="preserve"> J. Phys. 272: F292–F298, 1997.</w:t>
      </w:r>
    </w:p>
    <w:p w:rsidR="00655567" w:rsidRPr="00655567" w:rsidRDefault="00B67936" w:rsidP="00B67936">
      <w:pPr>
        <w:pStyle w:val="ListeParagraf"/>
        <w:numPr>
          <w:ilvl w:val="0"/>
          <w:numId w:val="20"/>
        </w:numPr>
        <w:autoSpaceDE w:val="0"/>
        <w:autoSpaceDN w:val="0"/>
        <w:adjustRightInd w:val="0"/>
        <w:ind w:hanging="502"/>
        <w:rPr>
          <w:szCs w:val="24"/>
        </w:rPr>
      </w:pPr>
      <w:r w:rsidRPr="00655567">
        <w:rPr>
          <w:rFonts w:eastAsiaTheme="minorHAnsi"/>
        </w:rPr>
        <w:t>Barrett BJ, Parfrey PS. Clinical practice. Preventing nephropathy induced by contrast</w:t>
      </w:r>
      <w:r w:rsidR="00655567">
        <w:rPr>
          <w:rFonts w:eastAsiaTheme="minorHAnsi"/>
        </w:rPr>
        <w:t xml:space="preserve"> </w:t>
      </w:r>
      <w:r w:rsidRPr="00655567">
        <w:rPr>
          <w:rFonts w:eastAsiaTheme="minorHAnsi"/>
        </w:rPr>
        <w:t>medium, N. Engl. J. Med. 354:379–386, 2006.</w:t>
      </w:r>
    </w:p>
    <w:p w:rsidR="00655567" w:rsidRPr="00655567" w:rsidRDefault="00B67936" w:rsidP="00B67936">
      <w:pPr>
        <w:pStyle w:val="ListeParagraf"/>
        <w:numPr>
          <w:ilvl w:val="0"/>
          <w:numId w:val="20"/>
        </w:numPr>
        <w:autoSpaceDE w:val="0"/>
        <w:autoSpaceDN w:val="0"/>
        <w:adjustRightInd w:val="0"/>
        <w:ind w:hanging="502"/>
        <w:rPr>
          <w:szCs w:val="24"/>
        </w:rPr>
      </w:pPr>
      <w:r w:rsidRPr="00655567">
        <w:rPr>
          <w:rFonts w:eastAsiaTheme="minorHAnsi"/>
        </w:rPr>
        <w:t>Caulfield JL, Singh SP, Wishnok JS, Deen WM, Tannenbaum SR. Bicarbonate inhibits N-nitrosation in oxygenated nitric oxide solutions, J. Biol. Chem. 271: 25859–25863, 1996.</w:t>
      </w:r>
    </w:p>
    <w:p w:rsidR="00655567" w:rsidRPr="00655567" w:rsidRDefault="00B67936" w:rsidP="00B67936">
      <w:pPr>
        <w:pStyle w:val="ListeParagraf"/>
        <w:numPr>
          <w:ilvl w:val="0"/>
          <w:numId w:val="20"/>
        </w:numPr>
        <w:autoSpaceDE w:val="0"/>
        <w:autoSpaceDN w:val="0"/>
        <w:adjustRightInd w:val="0"/>
        <w:ind w:hanging="502"/>
        <w:rPr>
          <w:szCs w:val="24"/>
        </w:rPr>
      </w:pPr>
      <w:r w:rsidRPr="00655567">
        <w:rPr>
          <w:rFonts w:eastAsiaTheme="minorHAnsi"/>
        </w:rPr>
        <w:t>Fishbane S, N-acetylcysteine in the prevention of contrast-induced nephropathy, Clin. J. Am. Soc. Nephrol. 3: 281–287, 2008.</w:t>
      </w:r>
    </w:p>
    <w:p w:rsidR="00655567" w:rsidRPr="00655567" w:rsidRDefault="00B67936" w:rsidP="00B67936">
      <w:pPr>
        <w:pStyle w:val="ListeParagraf"/>
        <w:numPr>
          <w:ilvl w:val="0"/>
          <w:numId w:val="20"/>
        </w:numPr>
        <w:autoSpaceDE w:val="0"/>
        <w:autoSpaceDN w:val="0"/>
        <w:adjustRightInd w:val="0"/>
        <w:ind w:hanging="502"/>
        <w:rPr>
          <w:szCs w:val="24"/>
        </w:rPr>
      </w:pPr>
      <w:r w:rsidRPr="00655567">
        <w:rPr>
          <w:rFonts w:eastAsiaTheme="minorHAnsi"/>
        </w:rPr>
        <w:t>Lindinger MI, Franklin TW, Lands LC, Pedersen PK, Welsh DG, Heigenhauser GJ. NaHCO(3) and KHCO(3) ingestion rapidly increases renal electrolyte excretion in humans, J. Appl. Physiol. 88: 540–550, 2000.</w:t>
      </w:r>
    </w:p>
    <w:p w:rsidR="002508E0" w:rsidRPr="002508E0" w:rsidRDefault="002508E0" w:rsidP="002508E0">
      <w:pPr>
        <w:pStyle w:val="ListeParagraf"/>
        <w:autoSpaceDE w:val="0"/>
        <w:autoSpaceDN w:val="0"/>
        <w:adjustRightInd w:val="0"/>
        <w:ind w:left="502"/>
        <w:rPr>
          <w:szCs w:val="24"/>
        </w:rPr>
      </w:pPr>
    </w:p>
    <w:p w:rsidR="002508E0" w:rsidRPr="002508E0" w:rsidRDefault="002508E0" w:rsidP="002508E0">
      <w:pPr>
        <w:pStyle w:val="ListeParagraf"/>
        <w:autoSpaceDE w:val="0"/>
        <w:autoSpaceDN w:val="0"/>
        <w:adjustRightInd w:val="0"/>
        <w:ind w:left="502"/>
        <w:rPr>
          <w:szCs w:val="24"/>
        </w:rPr>
      </w:pPr>
    </w:p>
    <w:p w:rsidR="002508E0" w:rsidRPr="002508E0" w:rsidRDefault="00B67936" w:rsidP="00B67936">
      <w:pPr>
        <w:pStyle w:val="ListeParagraf"/>
        <w:numPr>
          <w:ilvl w:val="0"/>
          <w:numId w:val="20"/>
        </w:numPr>
        <w:autoSpaceDE w:val="0"/>
        <w:autoSpaceDN w:val="0"/>
        <w:adjustRightInd w:val="0"/>
        <w:ind w:hanging="502"/>
        <w:rPr>
          <w:szCs w:val="24"/>
        </w:rPr>
      </w:pPr>
      <w:r w:rsidRPr="00655567">
        <w:rPr>
          <w:rFonts w:eastAsiaTheme="minorHAnsi"/>
        </w:rPr>
        <w:lastRenderedPageBreak/>
        <w:t>Ali-Hassan-Sayegh S, Mirhosseini SJ, Rahimizadeh E, Ghodratipour Z, Sarrafan-Chaharsoughi Z, Dehghan AM, et al. Current status of sodium bicarbonate in coronary angiography: an updated comprehensive meta-analysis and systematic review, Cardiol. Res. Pract.,</w:t>
      </w:r>
      <w:r w:rsidR="002508E0">
        <w:rPr>
          <w:rFonts w:eastAsiaTheme="minorHAnsi"/>
        </w:rPr>
        <w:t xml:space="preserve"> </w:t>
      </w:r>
      <w:r w:rsidRPr="00655567">
        <w:rPr>
          <w:rFonts w:eastAsiaTheme="minorHAnsi"/>
        </w:rPr>
        <w:t>2015.</w:t>
      </w:r>
    </w:p>
    <w:p w:rsidR="002508E0" w:rsidRDefault="00B67936" w:rsidP="00B67936">
      <w:pPr>
        <w:pStyle w:val="ListeParagraf"/>
        <w:numPr>
          <w:ilvl w:val="0"/>
          <w:numId w:val="20"/>
        </w:numPr>
        <w:autoSpaceDE w:val="0"/>
        <w:autoSpaceDN w:val="0"/>
        <w:adjustRightInd w:val="0"/>
        <w:ind w:hanging="502"/>
        <w:rPr>
          <w:rFonts w:eastAsiaTheme="minorHAnsi"/>
        </w:rPr>
      </w:pPr>
      <w:r w:rsidRPr="002508E0">
        <w:rPr>
          <w:rFonts w:eastAsiaTheme="minorHAnsi"/>
        </w:rPr>
        <w:t>Zhang B, Liang L, Chen W, Liang C, Zhang S. The efficacy of sodium bicarbonate in</w:t>
      </w:r>
      <w:r w:rsidR="002508E0" w:rsidRPr="002508E0">
        <w:rPr>
          <w:rFonts w:eastAsiaTheme="minorHAnsi"/>
        </w:rPr>
        <w:t xml:space="preserve"> </w:t>
      </w:r>
      <w:r w:rsidRPr="002508E0">
        <w:rPr>
          <w:rFonts w:eastAsiaTheme="minorHAnsi"/>
        </w:rPr>
        <w:t>preventing contrast-induced nephropathy in patients with pre-existing renal insufficiency:</w:t>
      </w:r>
      <w:r w:rsidR="002508E0">
        <w:rPr>
          <w:rFonts w:eastAsiaTheme="minorHAnsi"/>
        </w:rPr>
        <w:t xml:space="preserve"> </w:t>
      </w:r>
      <w:r w:rsidRPr="002508E0">
        <w:rPr>
          <w:rFonts w:eastAsiaTheme="minorHAnsi"/>
        </w:rPr>
        <w:t>a meta-analysis, BMJ Open 5 e6989, 2015.</w:t>
      </w:r>
    </w:p>
    <w:p w:rsidR="002508E0" w:rsidRDefault="00B67936" w:rsidP="00B67936">
      <w:pPr>
        <w:pStyle w:val="ListeParagraf"/>
        <w:numPr>
          <w:ilvl w:val="0"/>
          <w:numId w:val="20"/>
        </w:numPr>
        <w:autoSpaceDE w:val="0"/>
        <w:autoSpaceDN w:val="0"/>
        <w:adjustRightInd w:val="0"/>
        <w:ind w:hanging="502"/>
        <w:rPr>
          <w:rFonts w:eastAsiaTheme="minorHAnsi"/>
        </w:rPr>
      </w:pPr>
      <w:r w:rsidRPr="002508E0">
        <w:rPr>
          <w:rFonts w:eastAsiaTheme="minorHAnsi"/>
        </w:rPr>
        <w:t>McCullough PA, Adam A, Becker CR, Davidson C, Lameire N, Stacul F, et al. Risk prediction of contrast-induced nephropathy, Am. J. Cardiol. 98: 27K–36K, 2006.</w:t>
      </w:r>
    </w:p>
    <w:p w:rsidR="002508E0" w:rsidRDefault="00B67936" w:rsidP="00B67936">
      <w:pPr>
        <w:pStyle w:val="ListeParagraf"/>
        <w:numPr>
          <w:ilvl w:val="0"/>
          <w:numId w:val="20"/>
        </w:numPr>
        <w:autoSpaceDE w:val="0"/>
        <w:autoSpaceDN w:val="0"/>
        <w:adjustRightInd w:val="0"/>
        <w:ind w:hanging="502"/>
        <w:rPr>
          <w:rFonts w:eastAsiaTheme="minorHAnsi"/>
        </w:rPr>
      </w:pPr>
      <w:r w:rsidRPr="002508E0">
        <w:rPr>
          <w:rFonts w:eastAsiaTheme="minorHAnsi"/>
        </w:rPr>
        <w:t>Zhao SJ, Zhong ZS, Qi GX, Tian W. The efficacy of N-acetylcysteine plus sodium bicarbonate in the</w:t>
      </w:r>
      <w:r w:rsidRPr="005A4098">
        <w:t xml:space="preserve"> </w:t>
      </w:r>
      <w:r w:rsidRPr="002508E0">
        <w:rPr>
          <w:rFonts w:eastAsiaTheme="minorHAnsi"/>
        </w:rPr>
        <w:t>prevention of contrast-induced nephropathy after cardiac</w:t>
      </w:r>
      <w:r w:rsidRPr="005A4098">
        <w:t xml:space="preserve"> </w:t>
      </w:r>
      <w:r w:rsidRPr="002508E0">
        <w:rPr>
          <w:rFonts w:eastAsiaTheme="minorHAnsi"/>
        </w:rPr>
        <w:t>catheterization and percutaneous coronary intervention: A</w:t>
      </w:r>
      <w:r w:rsidRPr="005A4098">
        <w:t xml:space="preserve"> </w:t>
      </w:r>
      <w:r w:rsidRPr="002508E0">
        <w:rPr>
          <w:rFonts w:eastAsiaTheme="minorHAnsi"/>
        </w:rPr>
        <w:t>meta-analysis of randomized controlled trials, Int. J. Cardiol. 221: 251–259, 2016.</w:t>
      </w:r>
    </w:p>
    <w:p w:rsidR="002508E0" w:rsidRPr="002508E0" w:rsidRDefault="00B67936" w:rsidP="00B67936">
      <w:pPr>
        <w:pStyle w:val="ListeParagraf"/>
        <w:numPr>
          <w:ilvl w:val="0"/>
          <w:numId w:val="20"/>
        </w:numPr>
        <w:autoSpaceDE w:val="0"/>
        <w:autoSpaceDN w:val="0"/>
        <w:adjustRightInd w:val="0"/>
        <w:ind w:hanging="502"/>
        <w:rPr>
          <w:rFonts w:eastAsiaTheme="minorHAnsi"/>
        </w:rPr>
      </w:pPr>
      <w:r w:rsidRPr="005A4098">
        <w:t>Bhandari S, Turney JH. Survivors of acute renal failure who do not recover renal function. QJM. 489:415-21, 1996.</w:t>
      </w:r>
    </w:p>
    <w:p w:rsidR="002508E0" w:rsidRPr="002508E0" w:rsidRDefault="00B67936" w:rsidP="00B67936">
      <w:pPr>
        <w:pStyle w:val="ListeParagraf"/>
        <w:numPr>
          <w:ilvl w:val="0"/>
          <w:numId w:val="20"/>
        </w:numPr>
        <w:autoSpaceDE w:val="0"/>
        <w:autoSpaceDN w:val="0"/>
        <w:adjustRightInd w:val="0"/>
        <w:ind w:hanging="502"/>
        <w:rPr>
          <w:rFonts w:eastAsiaTheme="minorHAnsi"/>
        </w:rPr>
      </w:pPr>
      <w:r w:rsidRPr="005A4098">
        <w:t>Bernieh B, Hakim MA, Boobes Y, Siemkovics E, Jack HE. Outcome and predictive factors of acute renal failure in the ıntensive care unit. Transplant Prc. 36:1784-7, 2004.</w:t>
      </w:r>
    </w:p>
    <w:p w:rsidR="002508E0" w:rsidRPr="002508E0" w:rsidRDefault="00B67936" w:rsidP="00B67936">
      <w:pPr>
        <w:pStyle w:val="ListeParagraf"/>
        <w:numPr>
          <w:ilvl w:val="0"/>
          <w:numId w:val="20"/>
        </w:numPr>
        <w:autoSpaceDE w:val="0"/>
        <w:autoSpaceDN w:val="0"/>
        <w:adjustRightInd w:val="0"/>
        <w:ind w:hanging="502"/>
        <w:rPr>
          <w:rFonts w:eastAsiaTheme="minorHAnsi"/>
        </w:rPr>
      </w:pPr>
      <w:r w:rsidRPr="005A4098">
        <w:t xml:space="preserve">Obialo CI, Okonofua EC, Tayade AS, Riley LJ. epidemiology of de novo acute renal failure in hospitalized African Americans: comparing community-Acquired vs hospital-acquired disease. Arch Int Med.160:1309-13, 2000.  </w:t>
      </w:r>
    </w:p>
    <w:p w:rsidR="002508E0" w:rsidRPr="002508E0" w:rsidRDefault="00B67936" w:rsidP="00B67936">
      <w:pPr>
        <w:pStyle w:val="ListeParagraf"/>
        <w:numPr>
          <w:ilvl w:val="0"/>
          <w:numId w:val="20"/>
        </w:numPr>
        <w:autoSpaceDE w:val="0"/>
        <w:autoSpaceDN w:val="0"/>
        <w:adjustRightInd w:val="0"/>
        <w:ind w:hanging="502"/>
        <w:rPr>
          <w:rFonts w:eastAsiaTheme="minorHAnsi"/>
        </w:rPr>
      </w:pPr>
      <w:r w:rsidRPr="005A4098">
        <w:t>James MT, Tonelli M, Ghali WA, Knudtson ML, Faris P, Manns BJ, et al. Renal outcomes associated with invasive versus conservative management of acute coronary syndrome: propensity matched cohort study. BMJ.347:4151, 2013.</w:t>
      </w:r>
    </w:p>
    <w:p w:rsidR="002508E0" w:rsidRPr="002508E0" w:rsidRDefault="00B67936" w:rsidP="00B67936">
      <w:pPr>
        <w:pStyle w:val="ListeParagraf"/>
        <w:numPr>
          <w:ilvl w:val="0"/>
          <w:numId w:val="20"/>
        </w:numPr>
        <w:autoSpaceDE w:val="0"/>
        <w:autoSpaceDN w:val="0"/>
        <w:adjustRightInd w:val="0"/>
        <w:ind w:hanging="502"/>
        <w:rPr>
          <w:rFonts w:eastAsiaTheme="minorHAnsi"/>
        </w:rPr>
      </w:pPr>
      <w:r w:rsidRPr="005A4098">
        <w:t>James MT, Ghali WA, Knudtson ML, Ravani P, Tonelli M, Faris P, et al. Associations between acute kidney injury and cardiovascular and renal outcomes after coronary angiography. Circulation. 123: 409-416, 2011.</w:t>
      </w:r>
    </w:p>
    <w:p w:rsidR="002508E0" w:rsidRPr="002508E0" w:rsidRDefault="00B67936" w:rsidP="00B67936">
      <w:pPr>
        <w:pStyle w:val="ListeParagraf"/>
        <w:numPr>
          <w:ilvl w:val="0"/>
          <w:numId w:val="20"/>
        </w:numPr>
        <w:autoSpaceDE w:val="0"/>
        <w:autoSpaceDN w:val="0"/>
        <w:adjustRightInd w:val="0"/>
        <w:ind w:hanging="502"/>
        <w:rPr>
          <w:rFonts w:eastAsiaTheme="minorHAnsi"/>
        </w:rPr>
      </w:pPr>
      <w:r w:rsidRPr="005A4098">
        <w:t>Clinical Practice Guidelines For Chronic Kidney Disease: Evaluation, Classification and Stratification:</w:t>
      </w:r>
      <w:r w:rsidR="002508E0">
        <w:t xml:space="preserve"> </w:t>
      </w:r>
      <w:r w:rsidRPr="005A4098">
        <w:t>national kidney foundation, 2002.</w:t>
      </w:r>
    </w:p>
    <w:p w:rsidR="002508E0" w:rsidRPr="002508E0" w:rsidRDefault="00B67936" w:rsidP="00B67936">
      <w:pPr>
        <w:pStyle w:val="ListeParagraf"/>
        <w:numPr>
          <w:ilvl w:val="0"/>
          <w:numId w:val="20"/>
        </w:numPr>
        <w:autoSpaceDE w:val="0"/>
        <w:autoSpaceDN w:val="0"/>
        <w:adjustRightInd w:val="0"/>
        <w:ind w:hanging="502"/>
        <w:rPr>
          <w:rFonts w:eastAsiaTheme="minorHAnsi"/>
        </w:rPr>
      </w:pPr>
      <w:r w:rsidRPr="005A4098">
        <w:t xml:space="preserve">American Diabetes Association. Diagnosis and classification of diabetes mellitus. Diabetes Care.:34(Suppl 1):S62–S69, 2011. </w:t>
      </w:r>
    </w:p>
    <w:p w:rsidR="002508E0" w:rsidRDefault="002508E0">
      <w:pPr>
        <w:jc w:val="left"/>
      </w:pPr>
      <w:r>
        <w:br w:type="page"/>
      </w:r>
    </w:p>
    <w:p w:rsidR="002508E0" w:rsidRPr="002508E0" w:rsidRDefault="00B67936" w:rsidP="00B67936">
      <w:pPr>
        <w:pStyle w:val="ListeParagraf"/>
        <w:numPr>
          <w:ilvl w:val="0"/>
          <w:numId w:val="20"/>
        </w:numPr>
        <w:autoSpaceDE w:val="0"/>
        <w:autoSpaceDN w:val="0"/>
        <w:adjustRightInd w:val="0"/>
        <w:ind w:hanging="502"/>
        <w:rPr>
          <w:rFonts w:eastAsiaTheme="minorHAnsi"/>
        </w:rPr>
      </w:pPr>
      <w:r w:rsidRPr="005A4098">
        <w:lastRenderedPageBreak/>
        <w:t>Chobanian AV, Bakris GL, Black HR, Cushman WC, Green LA, Izzo JL Jr, et al. The Seventh Report of the Joint National Committee on Prevention, Detection, Evaluation, and Treatment of High Blood Pressure: theJNC 7 report. JAMA. 289(19):2560-72, 2003.</w:t>
      </w:r>
    </w:p>
    <w:p w:rsidR="002508E0" w:rsidRDefault="00B67936" w:rsidP="00B67936">
      <w:pPr>
        <w:pStyle w:val="ListeParagraf"/>
        <w:numPr>
          <w:ilvl w:val="0"/>
          <w:numId w:val="20"/>
        </w:numPr>
        <w:autoSpaceDE w:val="0"/>
        <w:autoSpaceDN w:val="0"/>
        <w:adjustRightInd w:val="0"/>
        <w:ind w:hanging="502"/>
      </w:pPr>
      <w:r w:rsidRPr="005A4098">
        <w:t xml:space="preserve">Ratanarat, R, Skulratanasak, P, Tangkawattanakul N, Hantaweepant, C. Clinical accuracy of RIFLE and Acute Kidney Injury Network (AKIN) criteria for predicting hospital mortality in critically ill patients with multi-organ dysfunction syndrome. </w:t>
      </w:r>
      <w:r w:rsidRPr="002508E0">
        <w:rPr>
          <w:iCs/>
        </w:rPr>
        <w:t>J Med</w:t>
      </w:r>
      <w:r w:rsidR="002508E0">
        <w:rPr>
          <w:iCs/>
        </w:rPr>
        <w:t xml:space="preserve"> </w:t>
      </w:r>
      <w:r w:rsidRPr="002508E0">
        <w:rPr>
          <w:iCs/>
        </w:rPr>
        <w:t>Assoc Thai</w:t>
      </w:r>
      <w:r w:rsidRPr="005A4098">
        <w:t xml:space="preserve">. </w:t>
      </w:r>
      <w:r w:rsidRPr="002508E0">
        <w:rPr>
          <w:bCs/>
        </w:rPr>
        <w:t>96</w:t>
      </w:r>
      <w:r w:rsidRPr="002508E0">
        <w:rPr>
          <w:b/>
          <w:bCs/>
        </w:rPr>
        <w:t xml:space="preserve">: </w:t>
      </w:r>
      <w:r w:rsidRPr="005A4098">
        <w:t>224–231, 2013.</w:t>
      </w:r>
    </w:p>
    <w:p w:rsidR="002508E0" w:rsidRDefault="00B67936" w:rsidP="00382CFB">
      <w:pPr>
        <w:pStyle w:val="ListeParagraf"/>
        <w:numPr>
          <w:ilvl w:val="0"/>
          <w:numId w:val="20"/>
        </w:numPr>
        <w:autoSpaceDE w:val="0"/>
        <w:autoSpaceDN w:val="0"/>
        <w:adjustRightInd w:val="0"/>
        <w:ind w:hanging="502"/>
      </w:pPr>
      <w:r w:rsidRPr="002508E0">
        <w:rPr>
          <w:bCs/>
          <w:shd w:val="clear" w:color="auto" w:fill="FFFFFF"/>
        </w:rPr>
        <w:t>Jiang</w:t>
      </w:r>
      <w:r w:rsidRPr="002508E0">
        <w:rPr>
          <w:rStyle w:val="apple-converted-space"/>
          <w:shd w:val="clear" w:color="auto" w:fill="FFFFFF"/>
        </w:rPr>
        <w:t> </w:t>
      </w:r>
      <w:r w:rsidRPr="002508E0">
        <w:rPr>
          <w:shd w:val="clear" w:color="auto" w:fill="FFFFFF"/>
        </w:rPr>
        <w:t xml:space="preserve">F, Chen YH, Liang XL, Xu LX, Ma GP, Hu PH, et al. </w:t>
      </w:r>
      <w:r w:rsidRPr="005A4098">
        <w:t xml:space="preserve">The sensitivity and accuracy of RIFLE and AKIN criteria for acute kidney injury diagnosis in intensive care unit patients. </w:t>
      </w:r>
      <w:r w:rsidRPr="002508E0">
        <w:rPr>
          <w:iCs/>
        </w:rPr>
        <w:t>Chin Crit Care Med</w:t>
      </w:r>
      <w:r w:rsidRPr="005A4098">
        <w:t xml:space="preserve">. </w:t>
      </w:r>
      <w:r w:rsidRPr="002508E0">
        <w:rPr>
          <w:bCs/>
        </w:rPr>
        <w:t xml:space="preserve">23: </w:t>
      </w:r>
      <w:r w:rsidRPr="005A4098">
        <w:t>759-62 , 2011.</w:t>
      </w:r>
    </w:p>
    <w:p w:rsidR="002508E0" w:rsidRDefault="00C57A06" w:rsidP="00382CFB">
      <w:pPr>
        <w:pStyle w:val="ListeParagraf"/>
        <w:numPr>
          <w:ilvl w:val="0"/>
          <w:numId w:val="20"/>
        </w:numPr>
        <w:autoSpaceDE w:val="0"/>
        <w:autoSpaceDN w:val="0"/>
        <w:adjustRightInd w:val="0"/>
        <w:ind w:hanging="502"/>
      </w:pPr>
      <w:hyperlink r:id="rId13" w:history="1">
        <w:r w:rsidR="00B67936" w:rsidRPr="002508E0">
          <w:rPr>
            <w:rStyle w:val="Kpr"/>
            <w:color w:val="auto"/>
          </w:rPr>
          <w:t>Xiong J</w:t>
        </w:r>
      </w:hyperlink>
      <w:r w:rsidR="00B67936" w:rsidRPr="00382CFB">
        <w:t xml:space="preserve">, </w:t>
      </w:r>
      <w:hyperlink r:id="rId14" w:history="1">
        <w:r w:rsidR="00B67936" w:rsidRPr="002508E0">
          <w:rPr>
            <w:rStyle w:val="Kpr"/>
            <w:color w:val="auto"/>
          </w:rPr>
          <w:t>Tang X</w:t>
        </w:r>
      </w:hyperlink>
      <w:r w:rsidR="00B67936" w:rsidRPr="00382CFB">
        <w:t xml:space="preserve">, </w:t>
      </w:r>
      <w:hyperlink r:id="rId15" w:history="1">
        <w:r w:rsidR="00B67936" w:rsidRPr="002508E0">
          <w:rPr>
            <w:rStyle w:val="Kpr"/>
            <w:color w:val="auto"/>
          </w:rPr>
          <w:t>Hu Z</w:t>
        </w:r>
      </w:hyperlink>
      <w:r w:rsidR="00B67936" w:rsidRPr="00382CFB">
        <w:t xml:space="preserve">, </w:t>
      </w:r>
      <w:hyperlink r:id="rId16" w:history="1">
        <w:r w:rsidR="00B67936" w:rsidRPr="002508E0">
          <w:rPr>
            <w:rStyle w:val="Kpr"/>
            <w:color w:val="auto"/>
          </w:rPr>
          <w:t>Nie L</w:t>
        </w:r>
      </w:hyperlink>
      <w:r w:rsidR="00B67936" w:rsidRPr="00382CFB">
        <w:t xml:space="preserve">, </w:t>
      </w:r>
      <w:hyperlink r:id="rId17" w:history="1">
        <w:r w:rsidR="00B67936" w:rsidRPr="002508E0">
          <w:rPr>
            <w:rStyle w:val="Kpr"/>
            <w:color w:val="auto"/>
          </w:rPr>
          <w:t>Wang Y</w:t>
        </w:r>
      </w:hyperlink>
      <w:r w:rsidR="00B67936" w:rsidRPr="00382CFB">
        <w:t xml:space="preserve">, </w:t>
      </w:r>
      <w:hyperlink r:id="rId18" w:history="1">
        <w:r w:rsidR="00B67936" w:rsidRPr="002508E0">
          <w:rPr>
            <w:rStyle w:val="Kpr"/>
            <w:color w:val="auto"/>
          </w:rPr>
          <w:t>Zhao J</w:t>
        </w:r>
      </w:hyperlink>
      <w:r w:rsidR="00B67936" w:rsidRPr="00382CFB">
        <w:t xml:space="preserve">.  The RIFLE versus AKIN classification for incidence and mortality of acute kidney injury in critical ill patients: A meta-analysis. 7;5:17917, 2015. </w:t>
      </w:r>
    </w:p>
    <w:p w:rsidR="002508E0" w:rsidRDefault="00C57A06" w:rsidP="00382CFB">
      <w:pPr>
        <w:pStyle w:val="ListeParagraf"/>
        <w:numPr>
          <w:ilvl w:val="0"/>
          <w:numId w:val="20"/>
        </w:numPr>
        <w:autoSpaceDE w:val="0"/>
        <w:autoSpaceDN w:val="0"/>
        <w:adjustRightInd w:val="0"/>
        <w:ind w:hanging="502"/>
      </w:pPr>
      <w:hyperlink r:id="rId19" w:history="1">
        <w:r w:rsidR="00B67936" w:rsidRPr="002508E0">
          <w:rPr>
            <w:rStyle w:val="Kpr"/>
            <w:color w:val="auto"/>
          </w:rPr>
          <w:t>Parikh CR</w:t>
        </w:r>
      </w:hyperlink>
      <w:r w:rsidR="00B67936" w:rsidRPr="00382CFB">
        <w:t>, </w:t>
      </w:r>
      <w:hyperlink r:id="rId20" w:history="1">
        <w:r w:rsidR="00B67936" w:rsidRPr="002508E0">
          <w:rPr>
            <w:rStyle w:val="Kpr"/>
            <w:color w:val="auto"/>
          </w:rPr>
          <w:t>Coca SG</w:t>
        </w:r>
      </w:hyperlink>
      <w:r w:rsidR="00B67936" w:rsidRPr="00382CFB">
        <w:t>, </w:t>
      </w:r>
      <w:hyperlink r:id="rId21" w:history="1">
        <w:r w:rsidR="00B67936" w:rsidRPr="002508E0">
          <w:rPr>
            <w:rStyle w:val="Kpr"/>
            <w:color w:val="auto"/>
          </w:rPr>
          <w:t>Wang Y</w:t>
        </w:r>
      </w:hyperlink>
      <w:r w:rsidR="00B67936" w:rsidRPr="00382CFB">
        <w:t>, </w:t>
      </w:r>
      <w:hyperlink r:id="rId22" w:history="1">
        <w:r w:rsidR="00B67936" w:rsidRPr="002508E0">
          <w:rPr>
            <w:rStyle w:val="Kpr"/>
            <w:color w:val="auto"/>
          </w:rPr>
          <w:t>Masoudi FA</w:t>
        </w:r>
      </w:hyperlink>
      <w:r w:rsidR="00B67936" w:rsidRPr="00382CFB">
        <w:t>, </w:t>
      </w:r>
      <w:hyperlink r:id="rId23" w:history="1">
        <w:r w:rsidR="00B67936" w:rsidRPr="002508E0">
          <w:rPr>
            <w:rStyle w:val="Kpr"/>
            <w:color w:val="auto"/>
          </w:rPr>
          <w:t>Krumholz HM</w:t>
        </w:r>
      </w:hyperlink>
      <w:r w:rsidR="00B67936" w:rsidRPr="00382CFB">
        <w:t xml:space="preserve">. Long-term prognosis of acute kidney injury after acute myocardial infarction. Arch Intern Med.168:987–95, 2008. </w:t>
      </w:r>
    </w:p>
    <w:p w:rsidR="002508E0" w:rsidRDefault="00C57A06" w:rsidP="00382CFB">
      <w:pPr>
        <w:pStyle w:val="ListeParagraf"/>
        <w:numPr>
          <w:ilvl w:val="0"/>
          <w:numId w:val="20"/>
        </w:numPr>
        <w:autoSpaceDE w:val="0"/>
        <w:autoSpaceDN w:val="0"/>
        <w:adjustRightInd w:val="0"/>
        <w:ind w:hanging="502"/>
      </w:pPr>
      <w:hyperlink r:id="rId24" w:history="1">
        <w:r w:rsidR="00B67936" w:rsidRPr="002508E0">
          <w:rPr>
            <w:rStyle w:val="Kpr"/>
            <w:color w:val="auto"/>
          </w:rPr>
          <w:t>Goldberg A</w:t>
        </w:r>
      </w:hyperlink>
      <w:r w:rsidR="00B67936" w:rsidRPr="00382CFB">
        <w:t>, </w:t>
      </w:r>
      <w:hyperlink r:id="rId25" w:history="1">
        <w:r w:rsidR="00B67936" w:rsidRPr="002508E0">
          <w:rPr>
            <w:rStyle w:val="Kpr"/>
            <w:color w:val="auto"/>
          </w:rPr>
          <w:t>Hammerman H</w:t>
        </w:r>
      </w:hyperlink>
      <w:r w:rsidR="00B67936" w:rsidRPr="00382CFB">
        <w:t>, </w:t>
      </w:r>
      <w:hyperlink r:id="rId26" w:history="1">
        <w:r w:rsidR="00B67936" w:rsidRPr="002508E0">
          <w:rPr>
            <w:rStyle w:val="Kpr"/>
            <w:color w:val="auto"/>
          </w:rPr>
          <w:t>Petcherski S</w:t>
        </w:r>
      </w:hyperlink>
      <w:r w:rsidR="00B67936" w:rsidRPr="00382CFB">
        <w:t>, </w:t>
      </w:r>
      <w:hyperlink r:id="rId27" w:history="1">
        <w:r w:rsidR="00B67936" w:rsidRPr="002508E0">
          <w:rPr>
            <w:rStyle w:val="Kpr"/>
            <w:color w:val="auto"/>
          </w:rPr>
          <w:t>Zdorovyak A</w:t>
        </w:r>
      </w:hyperlink>
      <w:r w:rsidR="00B67936" w:rsidRPr="00382CFB">
        <w:t>, </w:t>
      </w:r>
      <w:hyperlink r:id="rId28" w:history="1">
        <w:r w:rsidR="00B67936" w:rsidRPr="002508E0">
          <w:rPr>
            <w:rStyle w:val="Kpr"/>
            <w:color w:val="auto"/>
          </w:rPr>
          <w:t>Yalonetsky S</w:t>
        </w:r>
      </w:hyperlink>
      <w:r w:rsidR="00B67936" w:rsidRPr="00382CFB">
        <w:t>, </w:t>
      </w:r>
      <w:hyperlink r:id="rId29" w:history="1">
        <w:r w:rsidR="00B67936" w:rsidRPr="002508E0">
          <w:rPr>
            <w:rStyle w:val="Kpr"/>
            <w:color w:val="auto"/>
          </w:rPr>
          <w:t>Kapeliovich M</w:t>
        </w:r>
      </w:hyperlink>
      <w:r w:rsidR="00B67936" w:rsidRPr="00382CFB">
        <w:t xml:space="preserve"> et al. Inhospital and 1-year mortality of patients who develop worsening renal function following acute ST-elevation myocardial infarction. Am Heart J. 150: 330–7, 2005.</w:t>
      </w:r>
    </w:p>
    <w:p w:rsidR="002508E0" w:rsidRDefault="00C57A06" w:rsidP="00382CFB">
      <w:pPr>
        <w:pStyle w:val="ListeParagraf"/>
        <w:numPr>
          <w:ilvl w:val="0"/>
          <w:numId w:val="20"/>
        </w:numPr>
        <w:autoSpaceDE w:val="0"/>
        <w:autoSpaceDN w:val="0"/>
        <w:adjustRightInd w:val="0"/>
        <w:ind w:hanging="502"/>
      </w:pPr>
      <w:hyperlink r:id="rId30" w:history="1">
        <w:r w:rsidR="00B67936" w:rsidRPr="002508E0">
          <w:rPr>
            <w:rStyle w:val="Kpr"/>
            <w:color w:val="auto"/>
          </w:rPr>
          <w:t>Marenzi G</w:t>
        </w:r>
      </w:hyperlink>
      <w:r w:rsidR="00B67936" w:rsidRPr="00382CFB">
        <w:t>, </w:t>
      </w:r>
      <w:hyperlink r:id="rId31" w:history="1">
        <w:r w:rsidR="00B67936" w:rsidRPr="002508E0">
          <w:rPr>
            <w:rStyle w:val="Kpr"/>
            <w:color w:val="auto"/>
          </w:rPr>
          <w:t>Assanelli E</w:t>
        </w:r>
      </w:hyperlink>
      <w:r w:rsidR="00B67936" w:rsidRPr="00382CFB">
        <w:t>, </w:t>
      </w:r>
      <w:hyperlink r:id="rId32" w:history="1">
        <w:r w:rsidR="00B67936" w:rsidRPr="002508E0">
          <w:rPr>
            <w:rStyle w:val="Kpr"/>
            <w:color w:val="auto"/>
          </w:rPr>
          <w:t>Campodonico J</w:t>
        </w:r>
      </w:hyperlink>
      <w:r w:rsidR="00B67936" w:rsidRPr="00382CFB">
        <w:t>, </w:t>
      </w:r>
      <w:hyperlink r:id="rId33" w:history="1">
        <w:r w:rsidR="00B67936" w:rsidRPr="002508E0">
          <w:rPr>
            <w:rStyle w:val="Kpr"/>
            <w:color w:val="auto"/>
          </w:rPr>
          <w:t>De Metrio M</w:t>
        </w:r>
      </w:hyperlink>
      <w:r w:rsidR="00B67936" w:rsidRPr="00382CFB">
        <w:t>, </w:t>
      </w:r>
      <w:hyperlink r:id="rId34" w:history="1">
        <w:r w:rsidR="00B67936" w:rsidRPr="002508E0">
          <w:rPr>
            <w:rStyle w:val="Kpr"/>
            <w:color w:val="auto"/>
          </w:rPr>
          <w:t>Lauri G</w:t>
        </w:r>
      </w:hyperlink>
      <w:r w:rsidR="00B67936" w:rsidRPr="00382CFB">
        <w:t>, </w:t>
      </w:r>
      <w:hyperlink r:id="rId35" w:history="1">
        <w:r w:rsidR="00B67936" w:rsidRPr="002508E0">
          <w:rPr>
            <w:rStyle w:val="Kpr"/>
            <w:color w:val="auto"/>
          </w:rPr>
          <w:t>Marana I</w:t>
        </w:r>
      </w:hyperlink>
      <w:r w:rsidR="00B67936" w:rsidRPr="00382CFB">
        <w:t xml:space="preserve">, et al. Acute kidney injury in ST-segment elevation acute myocardial infarction complicated by cardiogenic shock at admission. Crit Care Med. 38:438–44, 2010. </w:t>
      </w:r>
    </w:p>
    <w:p w:rsidR="002508E0" w:rsidRDefault="00C57A06" w:rsidP="00382CFB">
      <w:pPr>
        <w:pStyle w:val="ListeParagraf"/>
        <w:numPr>
          <w:ilvl w:val="0"/>
          <w:numId w:val="20"/>
        </w:numPr>
        <w:autoSpaceDE w:val="0"/>
        <w:autoSpaceDN w:val="0"/>
        <w:adjustRightInd w:val="0"/>
        <w:ind w:hanging="502"/>
      </w:pPr>
      <w:hyperlink r:id="rId36" w:history="1">
        <w:r w:rsidR="00B67936" w:rsidRPr="002508E0">
          <w:rPr>
            <w:rStyle w:val="Kpr"/>
            <w:color w:val="auto"/>
          </w:rPr>
          <w:t>Newsome BB</w:t>
        </w:r>
      </w:hyperlink>
      <w:r w:rsidR="00B67936" w:rsidRPr="00382CFB">
        <w:t>1, </w:t>
      </w:r>
      <w:hyperlink r:id="rId37" w:history="1">
        <w:r w:rsidR="00B67936" w:rsidRPr="002508E0">
          <w:rPr>
            <w:rStyle w:val="Kpr"/>
            <w:color w:val="auto"/>
          </w:rPr>
          <w:t>Warnock DG</w:t>
        </w:r>
      </w:hyperlink>
      <w:r w:rsidR="00B67936" w:rsidRPr="00382CFB">
        <w:t>, </w:t>
      </w:r>
      <w:hyperlink r:id="rId38" w:history="1">
        <w:r w:rsidR="00B67936" w:rsidRPr="002508E0">
          <w:rPr>
            <w:rStyle w:val="Kpr"/>
            <w:color w:val="auto"/>
          </w:rPr>
          <w:t>McClellan WM</w:t>
        </w:r>
      </w:hyperlink>
      <w:r w:rsidR="00B67936" w:rsidRPr="00382CFB">
        <w:t>, </w:t>
      </w:r>
      <w:hyperlink r:id="rId39" w:history="1">
        <w:r w:rsidR="00B67936" w:rsidRPr="002508E0">
          <w:rPr>
            <w:rStyle w:val="Kpr"/>
            <w:color w:val="auto"/>
          </w:rPr>
          <w:t>Herzog CA</w:t>
        </w:r>
      </w:hyperlink>
      <w:r w:rsidR="00B67936" w:rsidRPr="00382CFB">
        <w:t>, </w:t>
      </w:r>
      <w:hyperlink r:id="rId40" w:history="1">
        <w:r w:rsidR="00B67936" w:rsidRPr="002508E0">
          <w:rPr>
            <w:rStyle w:val="Kpr"/>
            <w:color w:val="auto"/>
          </w:rPr>
          <w:t>Kiefe CI</w:t>
        </w:r>
      </w:hyperlink>
      <w:r w:rsidR="00B67936" w:rsidRPr="00382CFB">
        <w:t>, </w:t>
      </w:r>
      <w:hyperlink r:id="rId41" w:history="1">
        <w:r w:rsidR="00B67936" w:rsidRPr="002508E0">
          <w:rPr>
            <w:rStyle w:val="Kpr"/>
            <w:color w:val="auto"/>
          </w:rPr>
          <w:t>Eggers PW</w:t>
        </w:r>
      </w:hyperlink>
      <w:r w:rsidR="00B67936" w:rsidRPr="00382CFB">
        <w:t>, et al. Long-term risk of mortality and end-stage renal disease among the elderly after small increases in serum creatinine level during hospitalization for acute myocardial infarction. Arch Intern Med. 168:609–16, 2008.</w:t>
      </w:r>
    </w:p>
    <w:p w:rsidR="002508E0" w:rsidRDefault="00C57A06" w:rsidP="002508E0">
      <w:pPr>
        <w:pStyle w:val="ListeParagraf"/>
        <w:numPr>
          <w:ilvl w:val="0"/>
          <w:numId w:val="20"/>
        </w:numPr>
        <w:autoSpaceDE w:val="0"/>
        <w:autoSpaceDN w:val="0"/>
        <w:adjustRightInd w:val="0"/>
        <w:ind w:hanging="502"/>
      </w:pPr>
      <w:hyperlink r:id="rId42" w:history="1">
        <w:r w:rsidR="00B67936" w:rsidRPr="002508E0">
          <w:rPr>
            <w:rStyle w:val="Kpr"/>
            <w:color w:val="auto"/>
          </w:rPr>
          <w:t>Kume K</w:t>
        </w:r>
      </w:hyperlink>
      <w:r w:rsidR="00B67936" w:rsidRPr="00382CFB">
        <w:t>, </w:t>
      </w:r>
      <w:hyperlink r:id="rId43" w:history="1">
        <w:r w:rsidR="00B67936" w:rsidRPr="002508E0">
          <w:rPr>
            <w:rStyle w:val="Kpr"/>
            <w:color w:val="auto"/>
          </w:rPr>
          <w:t>Yasuoka Y</w:t>
        </w:r>
      </w:hyperlink>
      <w:r w:rsidR="00B67936" w:rsidRPr="00382CFB">
        <w:t>, </w:t>
      </w:r>
      <w:hyperlink r:id="rId44" w:history="1">
        <w:r w:rsidR="00B67936" w:rsidRPr="002508E0">
          <w:rPr>
            <w:rStyle w:val="Kpr"/>
            <w:color w:val="auto"/>
          </w:rPr>
          <w:t>Adachi H</w:t>
        </w:r>
      </w:hyperlink>
      <w:r w:rsidR="00B67936" w:rsidRPr="00382CFB">
        <w:t>, </w:t>
      </w:r>
      <w:hyperlink r:id="rId45" w:history="1">
        <w:r w:rsidR="00B67936" w:rsidRPr="002508E0">
          <w:rPr>
            <w:rStyle w:val="Kpr"/>
            <w:color w:val="auto"/>
          </w:rPr>
          <w:t>Noda Y</w:t>
        </w:r>
      </w:hyperlink>
      <w:r w:rsidR="00B67936" w:rsidRPr="00382CFB">
        <w:t>, </w:t>
      </w:r>
      <w:hyperlink r:id="rId46" w:history="1">
        <w:r w:rsidR="00B67936" w:rsidRPr="002508E0">
          <w:rPr>
            <w:rStyle w:val="Kpr"/>
            <w:color w:val="auto"/>
          </w:rPr>
          <w:t>Hattori S</w:t>
        </w:r>
      </w:hyperlink>
      <w:r w:rsidR="00B67936" w:rsidRPr="00382CFB">
        <w:t>, </w:t>
      </w:r>
      <w:hyperlink r:id="rId47" w:history="1">
        <w:r w:rsidR="00B67936" w:rsidRPr="002508E0">
          <w:rPr>
            <w:rStyle w:val="Kpr"/>
            <w:color w:val="auto"/>
          </w:rPr>
          <w:t>Araki R</w:t>
        </w:r>
      </w:hyperlink>
      <w:r w:rsidR="00B67936" w:rsidRPr="00382CFB">
        <w:t xml:space="preserve"> et al. Impact of contrast-induced acute kidney injury on outcomes in patients with ST-segment elevation myocardial infarction undergoing primary percutaneous coronary intervention. Cardiovasc Revasc Med. 14:253–7, 2013. </w:t>
      </w:r>
    </w:p>
    <w:p w:rsidR="002508E0" w:rsidRDefault="002508E0">
      <w:pPr>
        <w:jc w:val="left"/>
        <w:rPr>
          <w:bCs/>
          <w:shd w:val="clear" w:color="auto" w:fill="FFFFFF"/>
        </w:rPr>
      </w:pPr>
      <w:r>
        <w:rPr>
          <w:bCs/>
          <w:shd w:val="clear" w:color="auto" w:fill="FFFFFF"/>
        </w:rPr>
        <w:br w:type="page"/>
      </w:r>
    </w:p>
    <w:p w:rsidR="002508E0" w:rsidRDefault="00B67936" w:rsidP="002508E0">
      <w:pPr>
        <w:pStyle w:val="ListeParagraf"/>
        <w:numPr>
          <w:ilvl w:val="0"/>
          <w:numId w:val="20"/>
        </w:numPr>
        <w:autoSpaceDE w:val="0"/>
        <w:autoSpaceDN w:val="0"/>
        <w:adjustRightInd w:val="0"/>
        <w:ind w:hanging="502"/>
      </w:pPr>
      <w:r w:rsidRPr="002508E0">
        <w:rPr>
          <w:bCs/>
          <w:shd w:val="clear" w:color="auto" w:fill="FFFFFF"/>
        </w:rPr>
        <w:lastRenderedPageBreak/>
        <w:t>Shacham Y</w:t>
      </w:r>
      <w:r w:rsidRPr="002508E0">
        <w:rPr>
          <w:shd w:val="clear" w:color="auto" w:fill="FFFFFF"/>
        </w:rPr>
        <w:t>,</w:t>
      </w:r>
      <w:r w:rsidRPr="002508E0">
        <w:rPr>
          <w:rStyle w:val="apple-converted-space"/>
          <w:shd w:val="clear" w:color="auto" w:fill="FFFFFF"/>
        </w:rPr>
        <w:t> </w:t>
      </w:r>
      <w:r w:rsidRPr="002508E0">
        <w:rPr>
          <w:bCs/>
          <w:shd w:val="clear" w:color="auto" w:fill="FFFFFF"/>
        </w:rPr>
        <w:t>Leshem-Rubinow E</w:t>
      </w:r>
      <w:r w:rsidRPr="002508E0">
        <w:rPr>
          <w:shd w:val="clear" w:color="auto" w:fill="FFFFFF"/>
        </w:rPr>
        <w:t>,</w:t>
      </w:r>
      <w:r w:rsidRPr="002508E0">
        <w:rPr>
          <w:rStyle w:val="apple-converted-space"/>
          <w:shd w:val="clear" w:color="auto" w:fill="FFFFFF"/>
        </w:rPr>
        <w:t> </w:t>
      </w:r>
      <w:r w:rsidRPr="002508E0">
        <w:rPr>
          <w:bCs/>
          <w:shd w:val="clear" w:color="auto" w:fill="FFFFFF"/>
        </w:rPr>
        <w:t>Steinvil A</w:t>
      </w:r>
      <w:r w:rsidRPr="002508E0">
        <w:rPr>
          <w:shd w:val="clear" w:color="auto" w:fill="FFFFFF"/>
        </w:rPr>
        <w:t>, Assa EB, Keren G, Roth A,</w:t>
      </w:r>
      <w:r w:rsidRPr="005A4098">
        <w:t xml:space="preserve"> et al. Renal impairment according to acute kidney injury network criteria among ST-elevation myocardial infarction patients undergoing primary percutaneous intervention: a retrospective observational study. Clin Res Cardiol.103: 525–32, 2014. </w:t>
      </w:r>
    </w:p>
    <w:p w:rsidR="002508E0" w:rsidRDefault="00B67936" w:rsidP="002508E0">
      <w:pPr>
        <w:pStyle w:val="ListeParagraf"/>
        <w:numPr>
          <w:ilvl w:val="0"/>
          <w:numId w:val="20"/>
        </w:numPr>
        <w:autoSpaceDE w:val="0"/>
        <w:autoSpaceDN w:val="0"/>
        <w:adjustRightInd w:val="0"/>
        <w:ind w:hanging="502"/>
      </w:pPr>
      <w:r w:rsidRPr="002508E0">
        <w:rPr>
          <w:bCs/>
          <w:shd w:val="clear" w:color="auto" w:fill="FFFFFF"/>
        </w:rPr>
        <w:t>Senoo T</w:t>
      </w:r>
      <w:r w:rsidRPr="002508E0">
        <w:rPr>
          <w:shd w:val="clear" w:color="auto" w:fill="FFFFFF"/>
        </w:rPr>
        <w:t>,</w:t>
      </w:r>
      <w:r w:rsidRPr="002508E0">
        <w:rPr>
          <w:rStyle w:val="apple-converted-space"/>
          <w:shd w:val="clear" w:color="auto" w:fill="FFFFFF"/>
        </w:rPr>
        <w:t> </w:t>
      </w:r>
      <w:r w:rsidRPr="002508E0">
        <w:rPr>
          <w:bCs/>
          <w:shd w:val="clear" w:color="auto" w:fill="FFFFFF"/>
        </w:rPr>
        <w:t>Motohiro M</w:t>
      </w:r>
      <w:r w:rsidRPr="002508E0">
        <w:rPr>
          <w:shd w:val="clear" w:color="auto" w:fill="FFFFFF"/>
        </w:rPr>
        <w:t>,</w:t>
      </w:r>
      <w:r w:rsidRPr="002508E0">
        <w:rPr>
          <w:rStyle w:val="apple-converted-space"/>
          <w:shd w:val="clear" w:color="auto" w:fill="FFFFFF"/>
        </w:rPr>
        <w:t> </w:t>
      </w:r>
      <w:r w:rsidRPr="002508E0">
        <w:rPr>
          <w:bCs/>
          <w:shd w:val="clear" w:color="auto" w:fill="FFFFFF"/>
        </w:rPr>
        <w:t>Kamihata H</w:t>
      </w:r>
      <w:r w:rsidRPr="002508E0">
        <w:rPr>
          <w:shd w:val="clear" w:color="auto" w:fill="FFFFFF"/>
        </w:rPr>
        <w:t>, Yamamoto S, Isono T, Manabe K,</w:t>
      </w:r>
      <w:r w:rsidRPr="005A4098">
        <w:t xml:space="preserve"> et al. Contrast-induced nephropathy in patients undergoing emergency percutaneous coronary intervention for acute coronary syndrome. Am J Cardiol. 105: 624–8, 2010.</w:t>
      </w:r>
    </w:p>
    <w:p w:rsidR="002508E0" w:rsidRDefault="00B67936" w:rsidP="00B67936">
      <w:pPr>
        <w:pStyle w:val="ListeParagraf"/>
        <w:numPr>
          <w:ilvl w:val="0"/>
          <w:numId w:val="20"/>
        </w:numPr>
        <w:autoSpaceDE w:val="0"/>
        <w:autoSpaceDN w:val="0"/>
        <w:adjustRightInd w:val="0"/>
        <w:ind w:hanging="502"/>
      </w:pPr>
      <w:r w:rsidRPr="002508E0">
        <w:rPr>
          <w:bCs/>
          <w:shd w:val="clear" w:color="auto" w:fill="FFFFFF"/>
        </w:rPr>
        <w:t>Bruetto RG</w:t>
      </w:r>
      <w:r w:rsidRPr="002508E0">
        <w:rPr>
          <w:shd w:val="clear" w:color="auto" w:fill="FFFFFF"/>
        </w:rPr>
        <w:t>,</w:t>
      </w:r>
      <w:r w:rsidRPr="002508E0">
        <w:rPr>
          <w:rStyle w:val="apple-converted-space"/>
          <w:shd w:val="clear" w:color="auto" w:fill="FFFFFF"/>
        </w:rPr>
        <w:t> </w:t>
      </w:r>
      <w:r w:rsidRPr="002508E0">
        <w:rPr>
          <w:bCs/>
          <w:shd w:val="clear" w:color="auto" w:fill="FFFFFF"/>
        </w:rPr>
        <w:t>Rodrigues FB</w:t>
      </w:r>
      <w:r w:rsidRPr="002508E0">
        <w:rPr>
          <w:shd w:val="clear" w:color="auto" w:fill="FFFFFF"/>
        </w:rPr>
        <w:t>,</w:t>
      </w:r>
      <w:r w:rsidRPr="002508E0">
        <w:rPr>
          <w:rStyle w:val="apple-converted-space"/>
          <w:shd w:val="clear" w:color="auto" w:fill="FFFFFF"/>
        </w:rPr>
        <w:t> </w:t>
      </w:r>
      <w:r w:rsidRPr="002508E0">
        <w:rPr>
          <w:bCs/>
          <w:shd w:val="clear" w:color="auto" w:fill="FFFFFF"/>
        </w:rPr>
        <w:t>Torres US</w:t>
      </w:r>
      <w:r w:rsidRPr="002508E0">
        <w:rPr>
          <w:shd w:val="clear" w:color="auto" w:fill="FFFFFF"/>
        </w:rPr>
        <w:t>, Otaviano AP, Zanetta DM, Burdmann EA. Renal function at hospital</w:t>
      </w:r>
      <w:r w:rsidRPr="005A4098">
        <w:t xml:space="preserve"> admission and mortality due to acute kidney injury after myocardial infarction. PLoS ONE:7:e35496, 2012.</w:t>
      </w:r>
    </w:p>
    <w:p w:rsidR="002508E0" w:rsidRDefault="00B67936" w:rsidP="00B67936">
      <w:pPr>
        <w:pStyle w:val="ListeParagraf"/>
        <w:numPr>
          <w:ilvl w:val="0"/>
          <w:numId w:val="20"/>
        </w:numPr>
        <w:autoSpaceDE w:val="0"/>
        <w:autoSpaceDN w:val="0"/>
        <w:adjustRightInd w:val="0"/>
        <w:ind w:hanging="502"/>
      </w:pPr>
      <w:r w:rsidRPr="005A4098">
        <w:t xml:space="preserve">Ronco C, Haapio M, House AA, </w:t>
      </w:r>
      <w:r w:rsidRPr="002508E0">
        <w:rPr>
          <w:shd w:val="clear" w:color="auto" w:fill="FFFFFF"/>
        </w:rPr>
        <w:t>Anavekar N, Bellomo R</w:t>
      </w:r>
      <w:r w:rsidRPr="005A4098">
        <w:t xml:space="preserve">. Cardiorenal syndrome. J Am Coll Cardiol. 52: 1527–39, 2008. </w:t>
      </w:r>
    </w:p>
    <w:p w:rsidR="002508E0" w:rsidRDefault="00B67936" w:rsidP="00B67936">
      <w:pPr>
        <w:pStyle w:val="ListeParagraf"/>
        <w:numPr>
          <w:ilvl w:val="0"/>
          <w:numId w:val="20"/>
        </w:numPr>
        <w:autoSpaceDE w:val="0"/>
        <w:autoSpaceDN w:val="0"/>
        <w:adjustRightInd w:val="0"/>
        <w:ind w:hanging="502"/>
      </w:pPr>
      <w:r w:rsidRPr="002508E0">
        <w:rPr>
          <w:bCs/>
          <w:shd w:val="clear" w:color="auto" w:fill="FFFFFF"/>
        </w:rPr>
        <w:t>Marenzi G</w:t>
      </w:r>
      <w:r w:rsidRPr="002508E0">
        <w:rPr>
          <w:shd w:val="clear" w:color="auto" w:fill="FFFFFF"/>
        </w:rPr>
        <w:t>,</w:t>
      </w:r>
      <w:r w:rsidRPr="002508E0">
        <w:rPr>
          <w:rStyle w:val="apple-converted-space"/>
          <w:shd w:val="clear" w:color="auto" w:fill="FFFFFF"/>
        </w:rPr>
        <w:t> </w:t>
      </w:r>
      <w:r w:rsidRPr="002508E0">
        <w:rPr>
          <w:bCs/>
          <w:shd w:val="clear" w:color="auto" w:fill="FFFFFF"/>
        </w:rPr>
        <w:t>Assanelli E</w:t>
      </w:r>
      <w:r w:rsidRPr="002508E0">
        <w:rPr>
          <w:shd w:val="clear" w:color="auto" w:fill="FFFFFF"/>
        </w:rPr>
        <w:t>,</w:t>
      </w:r>
      <w:r w:rsidRPr="002508E0">
        <w:rPr>
          <w:rStyle w:val="apple-converted-space"/>
          <w:shd w:val="clear" w:color="auto" w:fill="FFFFFF"/>
        </w:rPr>
        <w:t> </w:t>
      </w:r>
      <w:r w:rsidRPr="002508E0">
        <w:rPr>
          <w:bCs/>
          <w:shd w:val="clear" w:color="auto" w:fill="FFFFFF"/>
        </w:rPr>
        <w:t>Campodonico J</w:t>
      </w:r>
      <w:r w:rsidRPr="002508E0">
        <w:rPr>
          <w:shd w:val="clear" w:color="auto" w:fill="FFFFFF"/>
        </w:rPr>
        <w:t>, Lauri G, Marana I, De Metrio M</w:t>
      </w:r>
      <w:r w:rsidRPr="005A4098">
        <w:t>, et al. Contrast volume during primary percutaneous coronary intervention and subsequent contrast-induced nephropathy and mortality. Ann Intern Med. 150: 170–7, 2009.</w:t>
      </w:r>
    </w:p>
    <w:p w:rsidR="002508E0" w:rsidRDefault="00B67936" w:rsidP="00B67936">
      <w:pPr>
        <w:pStyle w:val="ListeParagraf"/>
        <w:numPr>
          <w:ilvl w:val="0"/>
          <w:numId w:val="20"/>
        </w:numPr>
        <w:autoSpaceDE w:val="0"/>
        <w:autoSpaceDN w:val="0"/>
        <w:adjustRightInd w:val="0"/>
        <w:ind w:hanging="502"/>
      </w:pPr>
      <w:r w:rsidRPr="002508E0">
        <w:rPr>
          <w:bCs/>
          <w:shd w:val="clear" w:color="auto" w:fill="FFFFFF"/>
        </w:rPr>
        <w:t>Fujii T</w:t>
      </w:r>
      <w:r w:rsidRPr="002508E0">
        <w:rPr>
          <w:shd w:val="clear" w:color="auto" w:fill="FFFFFF"/>
        </w:rPr>
        <w:t>,</w:t>
      </w:r>
      <w:r w:rsidRPr="002508E0">
        <w:rPr>
          <w:rStyle w:val="apple-converted-space"/>
          <w:shd w:val="clear" w:color="auto" w:fill="FFFFFF"/>
        </w:rPr>
        <w:t> </w:t>
      </w:r>
      <w:r w:rsidRPr="002508E0">
        <w:rPr>
          <w:bCs/>
          <w:shd w:val="clear" w:color="auto" w:fill="FFFFFF"/>
        </w:rPr>
        <w:t>Kurata H</w:t>
      </w:r>
      <w:r w:rsidRPr="002508E0">
        <w:rPr>
          <w:shd w:val="clear" w:color="auto" w:fill="FFFFFF"/>
        </w:rPr>
        <w:t>,</w:t>
      </w:r>
      <w:r w:rsidRPr="002508E0">
        <w:rPr>
          <w:rStyle w:val="apple-converted-space"/>
          <w:shd w:val="clear" w:color="auto" w:fill="FFFFFF"/>
        </w:rPr>
        <w:t> </w:t>
      </w:r>
      <w:r w:rsidRPr="002508E0">
        <w:rPr>
          <w:bCs/>
          <w:shd w:val="clear" w:color="auto" w:fill="FFFFFF"/>
        </w:rPr>
        <w:t>Takaoka M</w:t>
      </w:r>
      <w:r w:rsidRPr="002508E0">
        <w:rPr>
          <w:shd w:val="clear" w:color="auto" w:fill="FFFFFF"/>
        </w:rPr>
        <w:t>, Muraoka T, Fujisawa Y, Shokoji T,</w:t>
      </w:r>
      <w:r w:rsidRPr="005A4098">
        <w:t xml:space="preserve">et al. The role of renal sympathetic nervous system in the pathogenesis of ischemic acute renal failure. Eur J Pharmacol. 481: 241–8, 2003. </w:t>
      </w:r>
    </w:p>
    <w:p w:rsidR="002508E0" w:rsidRDefault="00B67936" w:rsidP="00B67936">
      <w:pPr>
        <w:pStyle w:val="ListeParagraf"/>
        <w:numPr>
          <w:ilvl w:val="0"/>
          <w:numId w:val="20"/>
        </w:numPr>
        <w:autoSpaceDE w:val="0"/>
        <w:autoSpaceDN w:val="0"/>
        <w:adjustRightInd w:val="0"/>
        <w:ind w:hanging="502"/>
      </w:pPr>
      <w:r w:rsidRPr="005A4098">
        <w:t xml:space="preserve">Brewster UC, Perazella MA. The renin-angiotensin-aldosterone system and the kidney: effects on kidney disease. Am J Med. 116:263–72, 2004. </w:t>
      </w:r>
    </w:p>
    <w:p w:rsidR="002508E0" w:rsidRDefault="00C57A06" w:rsidP="00B67936">
      <w:pPr>
        <w:pStyle w:val="ListeParagraf"/>
        <w:numPr>
          <w:ilvl w:val="0"/>
          <w:numId w:val="20"/>
        </w:numPr>
        <w:autoSpaceDE w:val="0"/>
        <w:autoSpaceDN w:val="0"/>
        <w:adjustRightInd w:val="0"/>
        <w:ind w:hanging="502"/>
      </w:pPr>
      <w:hyperlink r:id="rId48" w:history="1">
        <w:r w:rsidR="00B67936" w:rsidRPr="002508E0">
          <w:rPr>
            <w:rStyle w:val="highlight"/>
            <w:shd w:val="clear" w:color="auto" w:fill="FFFFFF"/>
          </w:rPr>
          <w:t>Marenzi G</w:t>
        </w:r>
      </w:hyperlink>
      <w:r w:rsidR="00B67936" w:rsidRPr="002508E0">
        <w:rPr>
          <w:shd w:val="clear" w:color="auto" w:fill="FFFFFF"/>
        </w:rPr>
        <w:t>,</w:t>
      </w:r>
      <w:r w:rsidR="00B67936" w:rsidRPr="002508E0">
        <w:rPr>
          <w:rStyle w:val="apple-converted-space"/>
          <w:shd w:val="clear" w:color="auto" w:fill="FFFFFF"/>
        </w:rPr>
        <w:t> </w:t>
      </w:r>
      <w:hyperlink r:id="rId49" w:history="1">
        <w:r w:rsidR="00B67936" w:rsidRPr="002508E0">
          <w:rPr>
            <w:rStyle w:val="highlight"/>
            <w:shd w:val="clear" w:color="auto" w:fill="FFFFFF"/>
          </w:rPr>
          <w:t>De Metrio M</w:t>
        </w:r>
      </w:hyperlink>
      <w:r w:rsidR="00B67936" w:rsidRPr="002508E0">
        <w:rPr>
          <w:shd w:val="clear" w:color="auto" w:fill="FFFFFF"/>
        </w:rPr>
        <w:t>,</w:t>
      </w:r>
      <w:r w:rsidR="00B67936" w:rsidRPr="002508E0">
        <w:rPr>
          <w:rStyle w:val="apple-converted-space"/>
          <w:shd w:val="clear" w:color="auto" w:fill="FFFFFF"/>
        </w:rPr>
        <w:t> </w:t>
      </w:r>
      <w:hyperlink r:id="rId50" w:history="1">
        <w:r w:rsidR="00B67936" w:rsidRPr="002508E0">
          <w:rPr>
            <w:rStyle w:val="highlight"/>
            <w:shd w:val="clear" w:color="auto" w:fill="FFFFFF"/>
          </w:rPr>
          <w:t>Rubino M</w:t>
        </w:r>
      </w:hyperlink>
      <w:r w:rsidR="00B67936" w:rsidRPr="002508E0">
        <w:rPr>
          <w:shd w:val="clear" w:color="auto" w:fill="FFFFFF"/>
        </w:rPr>
        <w:t>,</w:t>
      </w:r>
      <w:r w:rsidR="00B67936" w:rsidRPr="002508E0">
        <w:rPr>
          <w:rStyle w:val="apple-converted-space"/>
          <w:shd w:val="clear" w:color="auto" w:fill="FFFFFF"/>
        </w:rPr>
        <w:t> </w:t>
      </w:r>
      <w:r w:rsidR="00B67936" w:rsidRPr="002508E0">
        <w:rPr>
          <w:shd w:val="clear" w:color="auto" w:fill="FFFFFF"/>
        </w:rPr>
        <w:t>Lauri G,</w:t>
      </w:r>
      <w:r w:rsidR="00B67936" w:rsidRPr="002508E0">
        <w:rPr>
          <w:rStyle w:val="apple-converted-space"/>
          <w:shd w:val="clear" w:color="auto" w:fill="FFFFFF"/>
        </w:rPr>
        <w:t> </w:t>
      </w:r>
      <w:r w:rsidR="00B67936" w:rsidRPr="002508E0">
        <w:rPr>
          <w:shd w:val="clear" w:color="auto" w:fill="FFFFFF"/>
        </w:rPr>
        <w:t>Cavallero A,</w:t>
      </w:r>
      <w:r w:rsidR="00B67936" w:rsidRPr="002508E0">
        <w:rPr>
          <w:rStyle w:val="apple-converted-space"/>
          <w:shd w:val="clear" w:color="auto" w:fill="FFFFFF"/>
        </w:rPr>
        <w:t> </w:t>
      </w:r>
      <w:r w:rsidR="00B67936" w:rsidRPr="002508E0">
        <w:rPr>
          <w:shd w:val="clear" w:color="auto" w:fill="FFFFFF"/>
        </w:rPr>
        <w:t>Assanelli E,</w:t>
      </w:r>
      <w:r w:rsidR="00B67936" w:rsidRPr="0095689B">
        <w:t xml:space="preserve"> et</w:t>
      </w:r>
      <w:r w:rsidR="00B67936" w:rsidRPr="005A4098">
        <w:t xml:space="preserve"> al. Acute hyperglycemia and contrast-induced nephropathy in primary percutaneous coronary intervention. Am Heart J. 160: 1170–7, 2010.</w:t>
      </w:r>
    </w:p>
    <w:p w:rsidR="002508E0" w:rsidRDefault="00B67936" w:rsidP="00B67936">
      <w:pPr>
        <w:pStyle w:val="ListeParagraf"/>
        <w:numPr>
          <w:ilvl w:val="0"/>
          <w:numId w:val="20"/>
        </w:numPr>
        <w:autoSpaceDE w:val="0"/>
        <w:autoSpaceDN w:val="0"/>
        <w:adjustRightInd w:val="0"/>
        <w:ind w:hanging="502"/>
      </w:pPr>
      <w:r w:rsidRPr="005A4098">
        <w:t>Neves D, Belo A, Damasio AF, Carvalho J, Santos R, Piçarra B, et al. Acute kidney injury in acute coronary syndromes-an important multifactorial consequence. Rev Port Cardiol. 35(7-8):415-421, 2016.</w:t>
      </w:r>
    </w:p>
    <w:p w:rsidR="002508E0" w:rsidRDefault="00B67936" w:rsidP="00B67936">
      <w:pPr>
        <w:pStyle w:val="ListeParagraf"/>
        <w:numPr>
          <w:ilvl w:val="0"/>
          <w:numId w:val="20"/>
        </w:numPr>
        <w:autoSpaceDE w:val="0"/>
        <w:autoSpaceDN w:val="0"/>
        <w:adjustRightInd w:val="0"/>
        <w:ind w:hanging="502"/>
      </w:pPr>
      <w:r w:rsidRPr="005A4098">
        <w:t>Marenzi G, Cabiati A, Bertoli SV, Assanelli E, Marana I, Metrio MD, et al. Incidence and relevance of acute kidney injury in patients hospitalized with acute coronary syndromes. Am J Cardiol. 111: 816-822, 2013.</w:t>
      </w:r>
    </w:p>
    <w:p w:rsidR="002508E0" w:rsidRDefault="00B67936" w:rsidP="00B67936">
      <w:pPr>
        <w:pStyle w:val="ListeParagraf"/>
        <w:numPr>
          <w:ilvl w:val="0"/>
          <w:numId w:val="20"/>
        </w:numPr>
        <w:autoSpaceDE w:val="0"/>
        <w:autoSpaceDN w:val="0"/>
        <w:adjustRightInd w:val="0"/>
        <w:ind w:hanging="502"/>
      </w:pPr>
      <w:r w:rsidRPr="005A4098">
        <w:t>Sun YB, Liu BC, Zou Y, Pan JR, Tao Y, Yang M. Risk factors of acute kidney injury after acute miyocardial infarction,  Ren Fail. 14: 1-6, 2016.</w:t>
      </w:r>
    </w:p>
    <w:p w:rsidR="002508E0" w:rsidRDefault="00B67936" w:rsidP="00B67936">
      <w:pPr>
        <w:pStyle w:val="ListeParagraf"/>
        <w:numPr>
          <w:ilvl w:val="0"/>
          <w:numId w:val="20"/>
        </w:numPr>
        <w:autoSpaceDE w:val="0"/>
        <w:autoSpaceDN w:val="0"/>
        <w:adjustRightInd w:val="0"/>
        <w:ind w:hanging="502"/>
      </w:pPr>
      <w:r w:rsidRPr="005A4098">
        <w:t>Buargub M, Elmokhtar ZO. Incidence and mortality of acute kidney injury in patiants with acute coronary syndrome: A retrospective study from a single coronary care unit. Saudi J Kidney Dis Transpl. 27(4):752-757, 2016.</w:t>
      </w:r>
    </w:p>
    <w:p w:rsidR="002508E0" w:rsidRDefault="00B67936" w:rsidP="00B67936">
      <w:pPr>
        <w:pStyle w:val="ListeParagraf"/>
        <w:numPr>
          <w:ilvl w:val="0"/>
          <w:numId w:val="20"/>
        </w:numPr>
        <w:autoSpaceDE w:val="0"/>
        <w:autoSpaceDN w:val="0"/>
        <w:adjustRightInd w:val="0"/>
        <w:ind w:hanging="502"/>
      </w:pPr>
      <w:r w:rsidRPr="005A4098">
        <w:lastRenderedPageBreak/>
        <w:t>Eren Z, Ozveren O, Buyukoner E, Kaspar E, Degertekin M, Kantarci G. A single-centre study of acute cardiorenal syndrome. Incidence, risk factors and consequences. Cardiorenal Med. 2:168-176, 2012.</w:t>
      </w:r>
    </w:p>
    <w:p w:rsidR="002508E0" w:rsidRPr="002508E0" w:rsidRDefault="00B67936" w:rsidP="00B67936">
      <w:pPr>
        <w:pStyle w:val="ListeParagraf"/>
        <w:numPr>
          <w:ilvl w:val="0"/>
          <w:numId w:val="20"/>
        </w:numPr>
        <w:autoSpaceDE w:val="0"/>
        <w:autoSpaceDN w:val="0"/>
        <w:adjustRightInd w:val="0"/>
        <w:ind w:hanging="502"/>
        <w:rPr>
          <w:rStyle w:val="element-citation"/>
        </w:rPr>
      </w:pPr>
      <w:r w:rsidRPr="002508E0">
        <w:rPr>
          <w:rStyle w:val="element-citation"/>
          <w:shd w:val="clear" w:color="auto" w:fill="FFFFFF"/>
        </w:rPr>
        <w:t>Cowie MR, Komajda M, Murray-Thomas T, Underwood J, Ticho B. POSH Investigators: Prevalence and impact of worsening renal function in patients hospitalized with decompensated heart failure: results of the prospective outcomes study in heart failure (POSH)</w:t>
      </w:r>
      <w:r w:rsidRPr="002508E0">
        <w:rPr>
          <w:rStyle w:val="apple-converted-space"/>
          <w:shd w:val="clear" w:color="auto" w:fill="FFFFFF"/>
        </w:rPr>
        <w:t> </w:t>
      </w:r>
      <w:r w:rsidRPr="002508E0">
        <w:rPr>
          <w:rStyle w:val="ref-journal"/>
          <w:shd w:val="clear" w:color="auto" w:fill="FFFFFF"/>
        </w:rPr>
        <w:t>Eur Heart J.</w:t>
      </w:r>
      <w:r w:rsidRPr="002508E0">
        <w:rPr>
          <w:rStyle w:val="apple-converted-space"/>
          <w:shd w:val="clear" w:color="auto" w:fill="FFFFFF"/>
        </w:rPr>
        <w:t xml:space="preserve"> </w:t>
      </w:r>
      <w:r w:rsidRPr="002508E0">
        <w:rPr>
          <w:rStyle w:val="ref-vol"/>
          <w:shd w:val="clear" w:color="auto" w:fill="FFFFFF"/>
        </w:rPr>
        <w:t>27</w:t>
      </w:r>
      <w:r w:rsidRPr="002508E0">
        <w:rPr>
          <w:rStyle w:val="element-citation"/>
          <w:shd w:val="clear" w:color="auto" w:fill="FFFFFF"/>
        </w:rPr>
        <w:t>: 1216–1222, 2006.</w:t>
      </w:r>
    </w:p>
    <w:p w:rsidR="002508E0" w:rsidRPr="002508E0" w:rsidRDefault="00B67936" w:rsidP="00B67936">
      <w:pPr>
        <w:pStyle w:val="ListeParagraf"/>
        <w:numPr>
          <w:ilvl w:val="0"/>
          <w:numId w:val="20"/>
        </w:numPr>
        <w:autoSpaceDE w:val="0"/>
        <w:autoSpaceDN w:val="0"/>
        <w:adjustRightInd w:val="0"/>
        <w:ind w:hanging="502"/>
        <w:rPr>
          <w:rStyle w:val="element-citation"/>
        </w:rPr>
      </w:pPr>
      <w:r w:rsidRPr="002508E0">
        <w:rPr>
          <w:rStyle w:val="element-citation"/>
          <w:shd w:val="clear" w:color="auto" w:fill="FFFFFF"/>
        </w:rPr>
        <w:t>Gottlieb SS, Abraham W, Butler J, Forman DE, Loh E, Massie BM, et al. The prognostic importance of different definitions of worsening renal function in congestive heart failure.</w:t>
      </w:r>
      <w:r w:rsidRPr="002508E0">
        <w:rPr>
          <w:rStyle w:val="apple-converted-space"/>
          <w:shd w:val="clear" w:color="auto" w:fill="FFFFFF"/>
        </w:rPr>
        <w:t> </w:t>
      </w:r>
      <w:r w:rsidRPr="002508E0">
        <w:rPr>
          <w:rStyle w:val="ref-journal"/>
          <w:shd w:val="clear" w:color="auto" w:fill="FFFFFF"/>
        </w:rPr>
        <w:t>J Card Fail.</w:t>
      </w:r>
      <w:r w:rsidRPr="002508E0">
        <w:rPr>
          <w:rStyle w:val="apple-converted-space"/>
          <w:shd w:val="clear" w:color="auto" w:fill="FFFFFF"/>
        </w:rPr>
        <w:t xml:space="preserve"> </w:t>
      </w:r>
      <w:r w:rsidRPr="002508E0">
        <w:rPr>
          <w:rStyle w:val="ref-vol"/>
          <w:shd w:val="clear" w:color="auto" w:fill="FFFFFF"/>
        </w:rPr>
        <w:t>8</w:t>
      </w:r>
      <w:r w:rsidRPr="002508E0">
        <w:rPr>
          <w:rStyle w:val="element-citation"/>
          <w:shd w:val="clear" w:color="auto" w:fill="FFFFFF"/>
        </w:rPr>
        <w:t>: 136–141, 2002.</w:t>
      </w:r>
    </w:p>
    <w:p w:rsidR="002508E0" w:rsidRPr="002508E0" w:rsidRDefault="00B67936" w:rsidP="00B67936">
      <w:pPr>
        <w:pStyle w:val="ListeParagraf"/>
        <w:numPr>
          <w:ilvl w:val="0"/>
          <w:numId w:val="20"/>
        </w:numPr>
        <w:autoSpaceDE w:val="0"/>
        <w:autoSpaceDN w:val="0"/>
        <w:adjustRightInd w:val="0"/>
        <w:ind w:hanging="502"/>
        <w:rPr>
          <w:rStyle w:val="apple-converted-space"/>
        </w:rPr>
      </w:pPr>
      <w:r w:rsidRPr="002508E0">
        <w:rPr>
          <w:rStyle w:val="element-citation"/>
          <w:shd w:val="clear" w:color="auto" w:fill="FFFFFF"/>
        </w:rPr>
        <w:t>Chertow GM, Burdick E, Honour M, Bonventre JV, Bates DW. Acute kidney injury, mortality, length of stay, and costs in hospitalized patients.</w:t>
      </w:r>
      <w:r w:rsidRPr="002508E0">
        <w:rPr>
          <w:rStyle w:val="apple-converted-space"/>
          <w:shd w:val="clear" w:color="auto" w:fill="FFFFFF"/>
        </w:rPr>
        <w:t> </w:t>
      </w:r>
      <w:r w:rsidRPr="002508E0">
        <w:rPr>
          <w:rStyle w:val="ref-journal"/>
          <w:shd w:val="clear" w:color="auto" w:fill="FFFFFF"/>
        </w:rPr>
        <w:t>J Am Soc Nephrol.</w:t>
      </w:r>
      <w:r w:rsidRPr="002508E0">
        <w:rPr>
          <w:rStyle w:val="ref-vol"/>
          <w:shd w:val="clear" w:color="auto" w:fill="FFFFFF"/>
        </w:rPr>
        <w:t xml:space="preserve"> 16</w:t>
      </w:r>
      <w:r w:rsidRPr="002508E0">
        <w:rPr>
          <w:rStyle w:val="element-citation"/>
          <w:shd w:val="clear" w:color="auto" w:fill="FFFFFF"/>
        </w:rPr>
        <w:t>:3365–3370, 2005.</w:t>
      </w:r>
      <w:r w:rsidRPr="002508E0">
        <w:rPr>
          <w:rStyle w:val="apple-converted-space"/>
          <w:shd w:val="clear" w:color="auto" w:fill="FFFFFF"/>
        </w:rPr>
        <w:t> </w:t>
      </w:r>
    </w:p>
    <w:p w:rsidR="002508E0" w:rsidRPr="002508E0" w:rsidRDefault="00B67936" w:rsidP="00B67936">
      <w:pPr>
        <w:pStyle w:val="ListeParagraf"/>
        <w:numPr>
          <w:ilvl w:val="0"/>
          <w:numId w:val="20"/>
        </w:numPr>
        <w:autoSpaceDE w:val="0"/>
        <w:autoSpaceDN w:val="0"/>
        <w:adjustRightInd w:val="0"/>
        <w:ind w:hanging="502"/>
        <w:rPr>
          <w:rStyle w:val="element-citation"/>
        </w:rPr>
      </w:pPr>
      <w:r w:rsidRPr="002508E0">
        <w:rPr>
          <w:rStyle w:val="element-citation"/>
          <w:shd w:val="clear" w:color="auto" w:fill="FFFFFF"/>
        </w:rPr>
        <w:t>Goldberg A, Hammerman H, Petcherski S, Zdorovyak A, Yalonetsky S, Kapeliovich M, et al. Inhospital and 1-year mortality of patients who develop worsening renal function following acute ST-elevation myocardial infarction.</w:t>
      </w:r>
      <w:r w:rsidRPr="002508E0">
        <w:rPr>
          <w:rStyle w:val="apple-converted-space"/>
          <w:shd w:val="clear" w:color="auto" w:fill="FFFFFF"/>
        </w:rPr>
        <w:t> </w:t>
      </w:r>
      <w:r w:rsidRPr="002508E0">
        <w:rPr>
          <w:rStyle w:val="ref-journal"/>
          <w:shd w:val="clear" w:color="auto" w:fill="FFFFFF"/>
        </w:rPr>
        <w:t>Am Heart J.</w:t>
      </w:r>
      <w:r w:rsidRPr="002508E0">
        <w:rPr>
          <w:rStyle w:val="ref-vol"/>
          <w:shd w:val="clear" w:color="auto" w:fill="FFFFFF"/>
        </w:rPr>
        <w:t>150</w:t>
      </w:r>
      <w:r w:rsidRPr="002508E0">
        <w:rPr>
          <w:rStyle w:val="element-citation"/>
          <w:shd w:val="clear" w:color="auto" w:fill="FFFFFF"/>
        </w:rPr>
        <w:t>: 330–337, 2005.</w:t>
      </w:r>
    </w:p>
    <w:p w:rsidR="00A80FC8" w:rsidRPr="002508E0" w:rsidRDefault="00B67936" w:rsidP="00B67936">
      <w:pPr>
        <w:pStyle w:val="ListeParagraf"/>
        <w:numPr>
          <w:ilvl w:val="0"/>
          <w:numId w:val="20"/>
        </w:numPr>
        <w:autoSpaceDE w:val="0"/>
        <w:autoSpaceDN w:val="0"/>
        <w:adjustRightInd w:val="0"/>
        <w:ind w:hanging="502"/>
      </w:pPr>
      <w:r w:rsidRPr="002508E0">
        <w:rPr>
          <w:rStyle w:val="element-citation"/>
          <w:shd w:val="clear" w:color="auto" w:fill="FFFFFF"/>
        </w:rPr>
        <w:t>Marenzi G, Cosentino N, Bartorelli A. Acute kidney injury in patients with acute coronary syndromes. Heart. 101: 1778-1785, 2015.</w:t>
      </w:r>
    </w:p>
    <w:sectPr w:rsidR="00A80FC8" w:rsidRPr="002508E0" w:rsidSect="00DF54B2">
      <w:pgSz w:w="11906" w:h="16838" w:code="9"/>
      <w:pgMar w:top="1418" w:right="1418" w:bottom="1418"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6783E" w:rsidRDefault="0066783E" w:rsidP="009B206A">
      <w:pPr>
        <w:spacing w:line="240" w:lineRule="auto"/>
      </w:pPr>
      <w:r>
        <w:separator/>
      </w:r>
    </w:p>
  </w:endnote>
  <w:endnote w:type="continuationSeparator" w:id="0">
    <w:p w:rsidR="0066783E" w:rsidRDefault="0066783E" w:rsidP="009B206A">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A2"/>
    <w:family w:val="roman"/>
    <w:pitch w:val="variable"/>
    <w:sig w:usb0="E0002EFF" w:usb1="C0007843" w:usb2="00000009" w:usb3="00000000" w:csb0="000001FF" w:csb1="00000000"/>
  </w:font>
  <w:font w:name="Courier New">
    <w:panose1 w:val="02070309020205020404"/>
    <w:charset w:val="A2"/>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2"/>
    <w:family w:val="swiss"/>
    <w:pitch w:val="variable"/>
    <w:sig w:usb0="E00002FF" w:usb1="4000ACFF" w:usb2="00000001" w:usb3="00000000" w:csb0="0000019F" w:csb1="00000000"/>
  </w:font>
  <w:font w:name="Tahoma">
    <w:panose1 w:val="020B0604030504040204"/>
    <w:charset w:val="A2"/>
    <w:family w:val="swiss"/>
    <w:pitch w:val="variable"/>
    <w:sig w:usb0="E1002EFF" w:usb1="C000605B" w:usb2="00000029" w:usb3="00000000" w:csb0="000101FF" w:csb1="00000000"/>
  </w:font>
  <w:font w:name="Arial">
    <w:panose1 w:val="020B0604020202020204"/>
    <w:charset w:val="A2"/>
    <w:family w:val="swiss"/>
    <w:pitch w:val="variable"/>
    <w:sig w:usb0="E0002AFF" w:usb1="C0007843" w:usb2="00000009" w:usb3="00000000" w:csb0="000001FF" w:csb1="00000000"/>
  </w:font>
  <w:font w:name="Cambria">
    <w:panose1 w:val="02040503050406030204"/>
    <w:charset w:val="A2"/>
    <w:family w:val="roman"/>
    <w:pitch w:val="variable"/>
    <w:sig w:usb0="E00002FF" w:usb1="400004FF" w:usb2="00000000" w:usb3="00000000" w:csb0="0000019F" w:csb1="00000000"/>
  </w:font>
  <w:font w:name="TimesNewRoman">
    <w:altName w:val="MS Mincho"/>
    <w:panose1 w:val="00000000000000000000"/>
    <w:charset w:val="80"/>
    <w:family w:val="auto"/>
    <w:notTrueType/>
    <w:pitch w:val="default"/>
    <w:sig w:usb0="00000001" w:usb1="08070000" w:usb2="00000010" w:usb3="00000000" w:csb0="00020000" w:csb1="00000000"/>
  </w:font>
  <w:font w:name="Cambria Math">
    <w:panose1 w:val="02040503050406030204"/>
    <w:charset w:val="A2"/>
    <w:family w:val="roman"/>
    <w:pitch w:val="variable"/>
    <w:sig w:usb0="E00002FF" w:usb1="42002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C59C9" w:rsidRPr="00305ADD" w:rsidRDefault="003C59C9" w:rsidP="00305ADD">
    <w:pPr>
      <w:pStyle w:val="Altbilgi"/>
      <w:jc w:val="center"/>
      <w:rPr>
        <w:szCs w:val="24"/>
      </w:rPr>
    </w:pPr>
    <w:r w:rsidRPr="00305ADD">
      <w:rPr>
        <w:szCs w:val="24"/>
      </w:rPr>
      <w:fldChar w:fldCharType="begin"/>
    </w:r>
    <w:r w:rsidRPr="00305ADD">
      <w:rPr>
        <w:szCs w:val="24"/>
      </w:rPr>
      <w:instrText xml:space="preserve"> PAGE   \* MERGEFORMAT </w:instrText>
    </w:r>
    <w:r w:rsidRPr="00305ADD">
      <w:rPr>
        <w:szCs w:val="24"/>
      </w:rPr>
      <w:fldChar w:fldCharType="separate"/>
    </w:r>
    <w:r w:rsidR="00F14C7B">
      <w:rPr>
        <w:noProof/>
        <w:szCs w:val="24"/>
      </w:rPr>
      <w:t>34</w:t>
    </w:r>
    <w:r w:rsidRPr="00305ADD">
      <w:rPr>
        <w:szCs w:val="24"/>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6783E" w:rsidRDefault="0066783E" w:rsidP="009B206A">
      <w:pPr>
        <w:spacing w:line="240" w:lineRule="auto"/>
      </w:pPr>
      <w:r>
        <w:separator/>
      </w:r>
    </w:p>
  </w:footnote>
  <w:footnote w:type="continuationSeparator" w:id="0">
    <w:p w:rsidR="0066783E" w:rsidRDefault="0066783E" w:rsidP="009B206A">
      <w:pPr>
        <w:spacing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EF6B42"/>
    <w:multiLevelType w:val="hybridMultilevel"/>
    <w:tmpl w:val="351A7072"/>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
    <w:nsid w:val="06412A03"/>
    <w:multiLevelType w:val="multilevel"/>
    <w:tmpl w:val="7EB0C5C6"/>
    <w:lvl w:ilvl="0">
      <w:start w:val="1"/>
      <w:numFmt w:val="decimal"/>
      <w:lvlText w:val="%1."/>
      <w:lvlJc w:val="left"/>
      <w:pPr>
        <w:ind w:left="720" w:hanging="360"/>
      </w:pPr>
      <w:rPr>
        <w:rFonts w:hint="default"/>
      </w:rPr>
    </w:lvl>
    <w:lvl w:ilvl="1">
      <w:start w:val="2"/>
      <w:numFmt w:val="decimal"/>
      <w:isLgl/>
      <w:lvlText w:val="%1.%2."/>
      <w:lvlJc w:val="left"/>
      <w:pPr>
        <w:ind w:left="945" w:hanging="360"/>
      </w:pPr>
      <w:rPr>
        <w:rFonts w:hint="default"/>
      </w:rPr>
    </w:lvl>
    <w:lvl w:ilvl="2">
      <w:start w:val="1"/>
      <w:numFmt w:val="decimal"/>
      <w:isLgl/>
      <w:lvlText w:val="%1.%2.%3."/>
      <w:lvlJc w:val="left"/>
      <w:pPr>
        <w:ind w:left="1530" w:hanging="720"/>
      </w:pPr>
      <w:rPr>
        <w:rFonts w:hint="default"/>
      </w:rPr>
    </w:lvl>
    <w:lvl w:ilvl="3">
      <w:start w:val="1"/>
      <w:numFmt w:val="decimal"/>
      <w:isLgl/>
      <w:lvlText w:val="%1.%2.%3.%4."/>
      <w:lvlJc w:val="left"/>
      <w:pPr>
        <w:ind w:left="1755" w:hanging="720"/>
      </w:pPr>
      <w:rPr>
        <w:rFonts w:hint="default"/>
      </w:rPr>
    </w:lvl>
    <w:lvl w:ilvl="4">
      <w:start w:val="1"/>
      <w:numFmt w:val="decimal"/>
      <w:isLgl/>
      <w:lvlText w:val="%1.%2.%3.%4.%5."/>
      <w:lvlJc w:val="left"/>
      <w:pPr>
        <w:ind w:left="2340" w:hanging="1080"/>
      </w:pPr>
      <w:rPr>
        <w:rFonts w:hint="default"/>
      </w:rPr>
    </w:lvl>
    <w:lvl w:ilvl="5">
      <w:start w:val="1"/>
      <w:numFmt w:val="decimal"/>
      <w:isLgl/>
      <w:lvlText w:val="%1.%2.%3.%4.%5.%6."/>
      <w:lvlJc w:val="left"/>
      <w:pPr>
        <w:ind w:left="2565" w:hanging="1080"/>
      </w:pPr>
      <w:rPr>
        <w:rFonts w:hint="default"/>
      </w:rPr>
    </w:lvl>
    <w:lvl w:ilvl="6">
      <w:start w:val="1"/>
      <w:numFmt w:val="decimal"/>
      <w:isLgl/>
      <w:lvlText w:val="%1.%2.%3.%4.%5.%6.%7."/>
      <w:lvlJc w:val="left"/>
      <w:pPr>
        <w:ind w:left="3150" w:hanging="1440"/>
      </w:pPr>
      <w:rPr>
        <w:rFonts w:hint="default"/>
      </w:rPr>
    </w:lvl>
    <w:lvl w:ilvl="7">
      <w:start w:val="1"/>
      <w:numFmt w:val="decimal"/>
      <w:isLgl/>
      <w:lvlText w:val="%1.%2.%3.%4.%5.%6.%7.%8."/>
      <w:lvlJc w:val="left"/>
      <w:pPr>
        <w:ind w:left="3375" w:hanging="1440"/>
      </w:pPr>
      <w:rPr>
        <w:rFonts w:hint="default"/>
      </w:rPr>
    </w:lvl>
    <w:lvl w:ilvl="8">
      <w:start w:val="1"/>
      <w:numFmt w:val="decimal"/>
      <w:isLgl/>
      <w:lvlText w:val="%1.%2.%3.%4.%5.%6.%7.%8.%9."/>
      <w:lvlJc w:val="left"/>
      <w:pPr>
        <w:ind w:left="3960" w:hanging="1800"/>
      </w:pPr>
      <w:rPr>
        <w:rFonts w:hint="default"/>
      </w:rPr>
    </w:lvl>
  </w:abstractNum>
  <w:abstractNum w:abstractNumId="2">
    <w:nsid w:val="07991BC7"/>
    <w:multiLevelType w:val="hybridMultilevel"/>
    <w:tmpl w:val="C2888A9A"/>
    <w:lvl w:ilvl="0" w:tplc="9E4E93C4">
      <w:start w:val="1"/>
      <w:numFmt w:val="bullet"/>
      <w:lvlText w:val=""/>
      <w:lvlJc w:val="left"/>
      <w:pPr>
        <w:ind w:left="1068" w:hanging="360"/>
      </w:pPr>
      <w:rPr>
        <w:rFonts w:ascii="Symbol" w:hAnsi="Symbol" w:hint="default"/>
        <w:color w:val="auto"/>
      </w:rPr>
    </w:lvl>
    <w:lvl w:ilvl="1" w:tplc="041F0003" w:tentative="1">
      <w:start w:val="1"/>
      <w:numFmt w:val="bullet"/>
      <w:lvlText w:val="o"/>
      <w:lvlJc w:val="left"/>
      <w:pPr>
        <w:ind w:left="1788" w:hanging="360"/>
      </w:pPr>
      <w:rPr>
        <w:rFonts w:ascii="Courier New" w:hAnsi="Courier New" w:cs="Courier New" w:hint="default"/>
      </w:rPr>
    </w:lvl>
    <w:lvl w:ilvl="2" w:tplc="041F0005" w:tentative="1">
      <w:start w:val="1"/>
      <w:numFmt w:val="bullet"/>
      <w:lvlText w:val=""/>
      <w:lvlJc w:val="left"/>
      <w:pPr>
        <w:ind w:left="2508" w:hanging="360"/>
      </w:pPr>
      <w:rPr>
        <w:rFonts w:ascii="Wingdings" w:hAnsi="Wingdings" w:hint="default"/>
      </w:rPr>
    </w:lvl>
    <w:lvl w:ilvl="3" w:tplc="041F0001" w:tentative="1">
      <w:start w:val="1"/>
      <w:numFmt w:val="bullet"/>
      <w:lvlText w:val=""/>
      <w:lvlJc w:val="left"/>
      <w:pPr>
        <w:ind w:left="3228" w:hanging="360"/>
      </w:pPr>
      <w:rPr>
        <w:rFonts w:ascii="Symbol" w:hAnsi="Symbol" w:hint="default"/>
      </w:rPr>
    </w:lvl>
    <w:lvl w:ilvl="4" w:tplc="041F0003" w:tentative="1">
      <w:start w:val="1"/>
      <w:numFmt w:val="bullet"/>
      <w:lvlText w:val="o"/>
      <w:lvlJc w:val="left"/>
      <w:pPr>
        <w:ind w:left="3948" w:hanging="360"/>
      </w:pPr>
      <w:rPr>
        <w:rFonts w:ascii="Courier New" w:hAnsi="Courier New" w:cs="Courier New" w:hint="default"/>
      </w:rPr>
    </w:lvl>
    <w:lvl w:ilvl="5" w:tplc="041F0005" w:tentative="1">
      <w:start w:val="1"/>
      <w:numFmt w:val="bullet"/>
      <w:lvlText w:val=""/>
      <w:lvlJc w:val="left"/>
      <w:pPr>
        <w:ind w:left="4668" w:hanging="360"/>
      </w:pPr>
      <w:rPr>
        <w:rFonts w:ascii="Wingdings" w:hAnsi="Wingdings" w:hint="default"/>
      </w:rPr>
    </w:lvl>
    <w:lvl w:ilvl="6" w:tplc="041F0001" w:tentative="1">
      <w:start w:val="1"/>
      <w:numFmt w:val="bullet"/>
      <w:lvlText w:val=""/>
      <w:lvlJc w:val="left"/>
      <w:pPr>
        <w:ind w:left="5388" w:hanging="360"/>
      </w:pPr>
      <w:rPr>
        <w:rFonts w:ascii="Symbol" w:hAnsi="Symbol" w:hint="default"/>
      </w:rPr>
    </w:lvl>
    <w:lvl w:ilvl="7" w:tplc="041F0003" w:tentative="1">
      <w:start w:val="1"/>
      <w:numFmt w:val="bullet"/>
      <w:lvlText w:val="o"/>
      <w:lvlJc w:val="left"/>
      <w:pPr>
        <w:ind w:left="6108" w:hanging="360"/>
      </w:pPr>
      <w:rPr>
        <w:rFonts w:ascii="Courier New" w:hAnsi="Courier New" w:cs="Courier New" w:hint="default"/>
      </w:rPr>
    </w:lvl>
    <w:lvl w:ilvl="8" w:tplc="041F0005" w:tentative="1">
      <w:start w:val="1"/>
      <w:numFmt w:val="bullet"/>
      <w:lvlText w:val=""/>
      <w:lvlJc w:val="left"/>
      <w:pPr>
        <w:ind w:left="6828" w:hanging="360"/>
      </w:pPr>
      <w:rPr>
        <w:rFonts w:ascii="Wingdings" w:hAnsi="Wingdings" w:hint="default"/>
      </w:rPr>
    </w:lvl>
  </w:abstractNum>
  <w:abstractNum w:abstractNumId="3">
    <w:nsid w:val="0BB1317A"/>
    <w:multiLevelType w:val="hybridMultilevel"/>
    <w:tmpl w:val="0122AE68"/>
    <w:lvl w:ilvl="0" w:tplc="6BD2DE34">
      <w:start w:val="1"/>
      <w:numFmt w:val="decimal"/>
      <w:lvlText w:val="%1."/>
      <w:lvlJc w:val="left"/>
      <w:pPr>
        <w:ind w:left="502" w:hanging="360"/>
      </w:pPr>
      <w:rPr>
        <w:b/>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4">
    <w:nsid w:val="107B79BB"/>
    <w:multiLevelType w:val="hybridMultilevel"/>
    <w:tmpl w:val="488CB5DA"/>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5">
    <w:nsid w:val="1C8268E5"/>
    <w:multiLevelType w:val="hybridMultilevel"/>
    <w:tmpl w:val="BA8296AC"/>
    <w:lvl w:ilvl="0" w:tplc="B0645AC4">
      <w:start w:val="1"/>
      <w:numFmt w:val="lowerLetter"/>
      <w:lvlText w:val="%1)"/>
      <w:lvlJc w:val="left"/>
      <w:pPr>
        <w:ind w:left="1068" w:hanging="360"/>
      </w:pPr>
      <w:rPr>
        <w:rFonts w:hint="default"/>
        <w:b/>
      </w:rPr>
    </w:lvl>
    <w:lvl w:ilvl="1" w:tplc="041F0019" w:tentative="1">
      <w:start w:val="1"/>
      <w:numFmt w:val="lowerLetter"/>
      <w:lvlText w:val="%2."/>
      <w:lvlJc w:val="left"/>
      <w:pPr>
        <w:ind w:left="1788" w:hanging="360"/>
      </w:pPr>
    </w:lvl>
    <w:lvl w:ilvl="2" w:tplc="041F001B" w:tentative="1">
      <w:start w:val="1"/>
      <w:numFmt w:val="lowerRoman"/>
      <w:lvlText w:val="%3."/>
      <w:lvlJc w:val="right"/>
      <w:pPr>
        <w:ind w:left="2508" w:hanging="180"/>
      </w:pPr>
    </w:lvl>
    <w:lvl w:ilvl="3" w:tplc="041F000F" w:tentative="1">
      <w:start w:val="1"/>
      <w:numFmt w:val="decimal"/>
      <w:lvlText w:val="%4."/>
      <w:lvlJc w:val="left"/>
      <w:pPr>
        <w:ind w:left="3228" w:hanging="360"/>
      </w:pPr>
    </w:lvl>
    <w:lvl w:ilvl="4" w:tplc="041F0019" w:tentative="1">
      <w:start w:val="1"/>
      <w:numFmt w:val="lowerLetter"/>
      <w:lvlText w:val="%5."/>
      <w:lvlJc w:val="left"/>
      <w:pPr>
        <w:ind w:left="3948" w:hanging="360"/>
      </w:pPr>
    </w:lvl>
    <w:lvl w:ilvl="5" w:tplc="041F001B" w:tentative="1">
      <w:start w:val="1"/>
      <w:numFmt w:val="lowerRoman"/>
      <w:lvlText w:val="%6."/>
      <w:lvlJc w:val="right"/>
      <w:pPr>
        <w:ind w:left="4668" w:hanging="180"/>
      </w:pPr>
    </w:lvl>
    <w:lvl w:ilvl="6" w:tplc="041F000F" w:tentative="1">
      <w:start w:val="1"/>
      <w:numFmt w:val="decimal"/>
      <w:lvlText w:val="%7."/>
      <w:lvlJc w:val="left"/>
      <w:pPr>
        <w:ind w:left="5388" w:hanging="360"/>
      </w:pPr>
    </w:lvl>
    <w:lvl w:ilvl="7" w:tplc="041F0019" w:tentative="1">
      <w:start w:val="1"/>
      <w:numFmt w:val="lowerLetter"/>
      <w:lvlText w:val="%8."/>
      <w:lvlJc w:val="left"/>
      <w:pPr>
        <w:ind w:left="6108" w:hanging="360"/>
      </w:pPr>
    </w:lvl>
    <w:lvl w:ilvl="8" w:tplc="041F001B" w:tentative="1">
      <w:start w:val="1"/>
      <w:numFmt w:val="lowerRoman"/>
      <w:lvlText w:val="%9."/>
      <w:lvlJc w:val="right"/>
      <w:pPr>
        <w:ind w:left="6828" w:hanging="180"/>
      </w:pPr>
    </w:lvl>
  </w:abstractNum>
  <w:abstractNum w:abstractNumId="6">
    <w:nsid w:val="1EBC5C3A"/>
    <w:multiLevelType w:val="hybridMultilevel"/>
    <w:tmpl w:val="DA62A59C"/>
    <w:lvl w:ilvl="0" w:tplc="19A659F6">
      <w:start w:val="1"/>
      <w:numFmt w:val="decimal"/>
      <w:lvlText w:val="%1."/>
      <w:lvlJc w:val="left"/>
      <w:pPr>
        <w:tabs>
          <w:tab w:val="num" w:pos="720"/>
        </w:tabs>
        <w:ind w:left="720" w:hanging="663"/>
      </w:pPr>
      <w:rPr>
        <w:rFonts w:hint="default"/>
        <w:sz w:val="28"/>
        <w:szCs w:val="28"/>
      </w:rPr>
    </w:lvl>
    <w:lvl w:ilvl="1" w:tplc="041F0019">
      <w:start w:val="1"/>
      <w:numFmt w:val="lowerLetter"/>
      <w:lvlText w:val="%2."/>
      <w:lvlJc w:val="left"/>
      <w:pPr>
        <w:tabs>
          <w:tab w:val="num" w:pos="1440"/>
        </w:tabs>
        <w:ind w:left="1440" w:hanging="360"/>
      </w:pPr>
    </w:lvl>
    <w:lvl w:ilvl="2" w:tplc="041F001B" w:tentative="1">
      <w:start w:val="1"/>
      <w:numFmt w:val="lowerRoman"/>
      <w:lvlText w:val="%3."/>
      <w:lvlJc w:val="right"/>
      <w:pPr>
        <w:tabs>
          <w:tab w:val="num" w:pos="2160"/>
        </w:tabs>
        <w:ind w:left="2160" w:hanging="180"/>
      </w:pPr>
    </w:lvl>
    <w:lvl w:ilvl="3" w:tplc="041F000F" w:tentative="1">
      <w:start w:val="1"/>
      <w:numFmt w:val="decimal"/>
      <w:lvlText w:val="%4."/>
      <w:lvlJc w:val="left"/>
      <w:pPr>
        <w:tabs>
          <w:tab w:val="num" w:pos="2880"/>
        </w:tabs>
        <w:ind w:left="2880" w:hanging="360"/>
      </w:pPr>
    </w:lvl>
    <w:lvl w:ilvl="4" w:tplc="041F0019" w:tentative="1">
      <w:start w:val="1"/>
      <w:numFmt w:val="lowerLetter"/>
      <w:lvlText w:val="%5."/>
      <w:lvlJc w:val="left"/>
      <w:pPr>
        <w:tabs>
          <w:tab w:val="num" w:pos="3600"/>
        </w:tabs>
        <w:ind w:left="3600" w:hanging="360"/>
      </w:pPr>
    </w:lvl>
    <w:lvl w:ilvl="5" w:tplc="041F001B" w:tentative="1">
      <w:start w:val="1"/>
      <w:numFmt w:val="lowerRoman"/>
      <w:lvlText w:val="%6."/>
      <w:lvlJc w:val="right"/>
      <w:pPr>
        <w:tabs>
          <w:tab w:val="num" w:pos="4320"/>
        </w:tabs>
        <w:ind w:left="4320" w:hanging="180"/>
      </w:pPr>
    </w:lvl>
    <w:lvl w:ilvl="6" w:tplc="041F000F" w:tentative="1">
      <w:start w:val="1"/>
      <w:numFmt w:val="decimal"/>
      <w:lvlText w:val="%7."/>
      <w:lvlJc w:val="left"/>
      <w:pPr>
        <w:tabs>
          <w:tab w:val="num" w:pos="5040"/>
        </w:tabs>
        <w:ind w:left="5040" w:hanging="360"/>
      </w:pPr>
    </w:lvl>
    <w:lvl w:ilvl="7" w:tplc="041F0019" w:tentative="1">
      <w:start w:val="1"/>
      <w:numFmt w:val="lowerLetter"/>
      <w:lvlText w:val="%8."/>
      <w:lvlJc w:val="left"/>
      <w:pPr>
        <w:tabs>
          <w:tab w:val="num" w:pos="5760"/>
        </w:tabs>
        <w:ind w:left="5760" w:hanging="360"/>
      </w:pPr>
    </w:lvl>
    <w:lvl w:ilvl="8" w:tplc="041F001B" w:tentative="1">
      <w:start w:val="1"/>
      <w:numFmt w:val="lowerRoman"/>
      <w:lvlText w:val="%9."/>
      <w:lvlJc w:val="right"/>
      <w:pPr>
        <w:tabs>
          <w:tab w:val="num" w:pos="6480"/>
        </w:tabs>
        <w:ind w:left="6480" w:hanging="180"/>
      </w:pPr>
    </w:lvl>
  </w:abstractNum>
  <w:abstractNum w:abstractNumId="7">
    <w:nsid w:val="22530322"/>
    <w:multiLevelType w:val="hybridMultilevel"/>
    <w:tmpl w:val="E85CB96E"/>
    <w:lvl w:ilvl="0" w:tplc="2C762728">
      <w:start w:val="1"/>
      <w:numFmt w:val="bullet"/>
      <w:lvlText w:val=""/>
      <w:lvlJc w:val="left"/>
      <w:pPr>
        <w:ind w:left="1068" w:hanging="360"/>
      </w:pPr>
      <w:rPr>
        <w:rFonts w:ascii="Symbol" w:hAnsi="Symbol" w:hint="default"/>
        <w:color w:val="auto"/>
      </w:rPr>
    </w:lvl>
    <w:lvl w:ilvl="1" w:tplc="041F0003" w:tentative="1">
      <w:start w:val="1"/>
      <w:numFmt w:val="bullet"/>
      <w:lvlText w:val="o"/>
      <w:lvlJc w:val="left"/>
      <w:pPr>
        <w:ind w:left="1503" w:hanging="360"/>
      </w:pPr>
      <w:rPr>
        <w:rFonts w:ascii="Courier New" w:hAnsi="Courier New" w:cs="Courier New" w:hint="default"/>
      </w:rPr>
    </w:lvl>
    <w:lvl w:ilvl="2" w:tplc="041F0005" w:tentative="1">
      <w:start w:val="1"/>
      <w:numFmt w:val="bullet"/>
      <w:lvlText w:val=""/>
      <w:lvlJc w:val="left"/>
      <w:pPr>
        <w:ind w:left="2223" w:hanging="360"/>
      </w:pPr>
      <w:rPr>
        <w:rFonts w:ascii="Wingdings" w:hAnsi="Wingdings" w:hint="default"/>
      </w:rPr>
    </w:lvl>
    <w:lvl w:ilvl="3" w:tplc="041F0001" w:tentative="1">
      <w:start w:val="1"/>
      <w:numFmt w:val="bullet"/>
      <w:lvlText w:val=""/>
      <w:lvlJc w:val="left"/>
      <w:pPr>
        <w:ind w:left="2943" w:hanging="360"/>
      </w:pPr>
      <w:rPr>
        <w:rFonts w:ascii="Symbol" w:hAnsi="Symbol" w:hint="default"/>
      </w:rPr>
    </w:lvl>
    <w:lvl w:ilvl="4" w:tplc="041F0003" w:tentative="1">
      <w:start w:val="1"/>
      <w:numFmt w:val="bullet"/>
      <w:lvlText w:val="o"/>
      <w:lvlJc w:val="left"/>
      <w:pPr>
        <w:ind w:left="3663" w:hanging="360"/>
      </w:pPr>
      <w:rPr>
        <w:rFonts w:ascii="Courier New" w:hAnsi="Courier New" w:cs="Courier New" w:hint="default"/>
      </w:rPr>
    </w:lvl>
    <w:lvl w:ilvl="5" w:tplc="041F0005" w:tentative="1">
      <w:start w:val="1"/>
      <w:numFmt w:val="bullet"/>
      <w:lvlText w:val=""/>
      <w:lvlJc w:val="left"/>
      <w:pPr>
        <w:ind w:left="4383" w:hanging="360"/>
      </w:pPr>
      <w:rPr>
        <w:rFonts w:ascii="Wingdings" w:hAnsi="Wingdings" w:hint="default"/>
      </w:rPr>
    </w:lvl>
    <w:lvl w:ilvl="6" w:tplc="041F0001" w:tentative="1">
      <w:start w:val="1"/>
      <w:numFmt w:val="bullet"/>
      <w:lvlText w:val=""/>
      <w:lvlJc w:val="left"/>
      <w:pPr>
        <w:ind w:left="5103" w:hanging="360"/>
      </w:pPr>
      <w:rPr>
        <w:rFonts w:ascii="Symbol" w:hAnsi="Symbol" w:hint="default"/>
      </w:rPr>
    </w:lvl>
    <w:lvl w:ilvl="7" w:tplc="041F0003" w:tentative="1">
      <w:start w:val="1"/>
      <w:numFmt w:val="bullet"/>
      <w:lvlText w:val="o"/>
      <w:lvlJc w:val="left"/>
      <w:pPr>
        <w:ind w:left="5823" w:hanging="360"/>
      </w:pPr>
      <w:rPr>
        <w:rFonts w:ascii="Courier New" w:hAnsi="Courier New" w:cs="Courier New" w:hint="default"/>
      </w:rPr>
    </w:lvl>
    <w:lvl w:ilvl="8" w:tplc="041F0005" w:tentative="1">
      <w:start w:val="1"/>
      <w:numFmt w:val="bullet"/>
      <w:lvlText w:val=""/>
      <w:lvlJc w:val="left"/>
      <w:pPr>
        <w:ind w:left="6543" w:hanging="360"/>
      </w:pPr>
      <w:rPr>
        <w:rFonts w:ascii="Wingdings" w:hAnsi="Wingdings" w:hint="default"/>
      </w:rPr>
    </w:lvl>
  </w:abstractNum>
  <w:abstractNum w:abstractNumId="8">
    <w:nsid w:val="29804D26"/>
    <w:multiLevelType w:val="hybridMultilevel"/>
    <w:tmpl w:val="F8EAB06A"/>
    <w:lvl w:ilvl="0" w:tplc="041F0001">
      <w:start w:val="1"/>
      <w:numFmt w:val="bullet"/>
      <w:lvlText w:val=""/>
      <w:lvlJc w:val="left"/>
      <w:pPr>
        <w:ind w:left="1305" w:hanging="360"/>
      </w:pPr>
      <w:rPr>
        <w:rFonts w:ascii="Symbol" w:hAnsi="Symbol" w:hint="default"/>
      </w:rPr>
    </w:lvl>
    <w:lvl w:ilvl="1" w:tplc="041F0003" w:tentative="1">
      <w:start w:val="1"/>
      <w:numFmt w:val="bullet"/>
      <w:lvlText w:val="o"/>
      <w:lvlJc w:val="left"/>
      <w:pPr>
        <w:ind w:left="2025" w:hanging="360"/>
      </w:pPr>
      <w:rPr>
        <w:rFonts w:ascii="Courier New" w:hAnsi="Courier New" w:cs="Courier New" w:hint="default"/>
      </w:rPr>
    </w:lvl>
    <w:lvl w:ilvl="2" w:tplc="041F0005" w:tentative="1">
      <w:start w:val="1"/>
      <w:numFmt w:val="bullet"/>
      <w:lvlText w:val=""/>
      <w:lvlJc w:val="left"/>
      <w:pPr>
        <w:ind w:left="2745" w:hanging="360"/>
      </w:pPr>
      <w:rPr>
        <w:rFonts w:ascii="Wingdings" w:hAnsi="Wingdings" w:hint="default"/>
      </w:rPr>
    </w:lvl>
    <w:lvl w:ilvl="3" w:tplc="041F0001" w:tentative="1">
      <w:start w:val="1"/>
      <w:numFmt w:val="bullet"/>
      <w:lvlText w:val=""/>
      <w:lvlJc w:val="left"/>
      <w:pPr>
        <w:ind w:left="3465" w:hanging="360"/>
      </w:pPr>
      <w:rPr>
        <w:rFonts w:ascii="Symbol" w:hAnsi="Symbol" w:hint="default"/>
      </w:rPr>
    </w:lvl>
    <w:lvl w:ilvl="4" w:tplc="041F0003" w:tentative="1">
      <w:start w:val="1"/>
      <w:numFmt w:val="bullet"/>
      <w:lvlText w:val="o"/>
      <w:lvlJc w:val="left"/>
      <w:pPr>
        <w:ind w:left="4185" w:hanging="360"/>
      </w:pPr>
      <w:rPr>
        <w:rFonts w:ascii="Courier New" w:hAnsi="Courier New" w:cs="Courier New" w:hint="default"/>
      </w:rPr>
    </w:lvl>
    <w:lvl w:ilvl="5" w:tplc="041F0005" w:tentative="1">
      <w:start w:val="1"/>
      <w:numFmt w:val="bullet"/>
      <w:lvlText w:val=""/>
      <w:lvlJc w:val="left"/>
      <w:pPr>
        <w:ind w:left="4905" w:hanging="360"/>
      </w:pPr>
      <w:rPr>
        <w:rFonts w:ascii="Wingdings" w:hAnsi="Wingdings" w:hint="default"/>
      </w:rPr>
    </w:lvl>
    <w:lvl w:ilvl="6" w:tplc="041F0001" w:tentative="1">
      <w:start w:val="1"/>
      <w:numFmt w:val="bullet"/>
      <w:lvlText w:val=""/>
      <w:lvlJc w:val="left"/>
      <w:pPr>
        <w:ind w:left="5625" w:hanging="360"/>
      </w:pPr>
      <w:rPr>
        <w:rFonts w:ascii="Symbol" w:hAnsi="Symbol" w:hint="default"/>
      </w:rPr>
    </w:lvl>
    <w:lvl w:ilvl="7" w:tplc="041F0003" w:tentative="1">
      <w:start w:val="1"/>
      <w:numFmt w:val="bullet"/>
      <w:lvlText w:val="o"/>
      <w:lvlJc w:val="left"/>
      <w:pPr>
        <w:ind w:left="6345" w:hanging="360"/>
      </w:pPr>
      <w:rPr>
        <w:rFonts w:ascii="Courier New" w:hAnsi="Courier New" w:cs="Courier New" w:hint="default"/>
      </w:rPr>
    </w:lvl>
    <w:lvl w:ilvl="8" w:tplc="041F0005" w:tentative="1">
      <w:start w:val="1"/>
      <w:numFmt w:val="bullet"/>
      <w:lvlText w:val=""/>
      <w:lvlJc w:val="left"/>
      <w:pPr>
        <w:ind w:left="7065" w:hanging="360"/>
      </w:pPr>
      <w:rPr>
        <w:rFonts w:ascii="Wingdings" w:hAnsi="Wingdings" w:hint="default"/>
      </w:rPr>
    </w:lvl>
  </w:abstractNum>
  <w:abstractNum w:abstractNumId="9">
    <w:nsid w:val="315F56D9"/>
    <w:multiLevelType w:val="hybridMultilevel"/>
    <w:tmpl w:val="F4725716"/>
    <w:lvl w:ilvl="0" w:tplc="041F000F">
      <w:start w:val="1"/>
      <w:numFmt w:val="decimal"/>
      <w:lvlText w:val="%1."/>
      <w:lvlJc w:val="left"/>
      <w:pPr>
        <w:ind w:left="1305" w:hanging="360"/>
      </w:pPr>
    </w:lvl>
    <w:lvl w:ilvl="1" w:tplc="041F0019" w:tentative="1">
      <w:start w:val="1"/>
      <w:numFmt w:val="lowerLetter"/>
      <w:lvlText w:val="%2."/>
      <w:lvlJc w:val="left"/>
      <w:pPr>
        <w:ind w:left="2025" w:hanging="360"/>
      </w:pPr>
    </w:lvl>
    <w:lvl w:ilvl="2" w:tplc="041F001B" w:tentative="1">
      <w:start w:val="1"/>
      <w:numFmt w:val="lowerRoman"/>
      <w:lvlText w:val="%3."/>
      <w:lvlJc w:val="right"/>
      <w:pPr>
        <w:ind w:left="2745" w:hanging="180"/>
      </w:pPr>
    </w:lvl>
    <w:lvl w:ilvl="3" w:tplc="041F000F" w:tentative="1">
      <w:start w:val="1"/>
      <w:numFmt w:val="decimal"/>
      <w:lvlText w:val="%4."/>
      <w:lvlJc w:val="left"/>
      <w:pPr>
        <w:ind w:left="3465" w:hanging="360"/>
      </w:pPr>
    </w:lvl>
    <w:lvl w:ilvl="4" w:tplc="041F0019" w:tentative="1">
      <w:start w:val="1"/>
      <w:numFmt w:val="lowerLetter"/>
      <w:lvlText w:val="%5."/>
      <w:lvlJc w:val="left"/>
      <w:pPr>
        <w:ind w:left="4185" w:hanging="360"/>
      </w:pPr>
    </w:lvl>
    <w:lvl w:ilvl="5" w:tplc="041F001B" w:tentative="1">
      <w:start w:val="1"/>
      <w:numFmt w:val="lowerRoman"/>
      <w:lvlText w:val="%6."/>
      <w:lvlJc w:val="right"/>
      <w:pPr>
        <w:ind w:left="4905" w:hanging="180"/>
      </w:pPr>
    </w:lvl>
    <w:lvl w:ilvl="6" w:tplc="041F000F" w:tentative="1">
      <w:start w:val="1"/>
      <w:numFmt w:val="decimal"/>
      <w:lvlText w:val="%7."/>
      <w:lvlJc w:val="left"/>
      <w:pPr>
        <w:ind w:left="5625" w:hanging="360"/>
      </w:pPr>
    </w:lvl>
    <w:lvl w:ilvl="7" w:tplc="041F0019" w:tentative="1">
      <w:start w:val="1"/>
      <w:numFmt w:val="lowerLetter"/>
      <w:lvlText w:val="%8."/>
      <w:lvlJc w:val="left"/>
      <w:pPr>
        <w:ind w:left="6345" w:hanging="360"/>
      </w:pPr>
    </w:lvl>
    <w:lvl w:ilvl="8" w:tplc="041F001B" w:tentative="1">
      <w:start w:val="1"/>
      <w:numFmt w:val="lowerRoman"/>
      <w:lvlText w:val="%9."/>
      <w:lvlJc w:val="right"/>
      <w:pPr>
        <w:ind w:left="7065" w:hanging="180"/>
      </w:pPr>
    </w:lvl>
  </w:abstractNum>
  <w:abstractNum w:abstractNumId="10">
    <w:nsid w:val="396F10D3"/>
    <w:multiLevelType w:val="hybridMultilevel"/>
    <w:tmpl w:val="674C4EE8"/>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1">
    <w:nsid w:val="48E66D63"/>
    <w:multiLevelType w:val="hybridMultilevel"/>
    <w:tmpl w:val="539C0EB2"/>
    <w:lvl w:ilvl="0" w:tplc="36FE2442">
      <w:start w:val="1"/>
      <w:numFmt w:val="decimal"/>
      <w:lvlText w:val="%1."/>
      <w:lvlJc w:val="left"/>
      <w:pPr>
        <w:ind w:left="1068" w:hanging="360"/>
      </w:pPr>
      <w:rPr>
        <w:rFonts w:hint="default"/>
      </w:rPr>
    </w:lvl>
    <w:lvl w:ilvl="1" w:tplc="041F0019" w:tentative="1">
      <w:start w:val="1"/>
      <w:numFmt w:val="lowerLetter"/>
      <w:lvlText w:val="%2."/>
      <w:lvlJc w:val="left"/>
      <w:pPr>
        <w:ind w:left="1788" w:hanging="360"/>
      </w:pPr>
    </w:lvl>
    <w:lvl w:ilvl="2" w:tplc="041F001B" w:tentative="1">
      <w:start w:val="1"/>
      <w:numFmt w:val="lowerRoman"/>
      <w:lvlText w:val="%3."/>
      <w:lvlJc w:val="right"/>
      <w:pPr>
        <w:ind w:left="2508" w:hanging="180"/>
      </w:pPr>
    </w:lvl>
    <w:lvl w:ilvl="3" w:tplc="041F000F" w:tentative="1">
      <w:start w:val="1"/>
      <w:numFmt w:val="decimal"/>
      <w:lvlText w:val="%4."/>
      <w:lvlJc w:val="left"/>
      <w:pPr>
        <w:ind w:left="3228" w:hanging="360"/>
      </w:pPr>
    </w:lvl>
    <w:lvl w:ilvl="4" w:tplc="041F0019" w:tentative="1">
      <w:start w:val="1"/>
      <w:numFmt w:val="lowerLetter"/>
      <w:lvlText w:val="%5."/>
      <w:lvlJc w:val="left"/>
      <w:pPr>
        <w:ind w:left="3948" w:hanging="360"/>
      </w:pPr>
    </w:lvl>
    <w:lvl w:ilvl="5" w:tplc="041F001B" w:tentative="1">
      <w:start w:val="1"/>
      <w:numFmt w:val="lowerRoman"/>
      <w:lvlText w:val="%6."/>
      <w:lvlJc w:val="right"/>
      <w:pPr>
        <w:ind w:left="4668" w:hanging="180"/>
      </w:pPr>
    </w:lvl>
    <w:lvl w:ilvl="6" w:tplc="041F000F" w:tentative="1">
      <w:start w:val="1"/>
      <w:numFmt w:val="decimal"/>
      <w:lvlText w:val="%7."/>
      <w:lvlJc w:val="left"/>
      <w:pPr>
        <w:ind w:left="5388" w:hanging="360"/>
      </w:pPr>
    </w:lvl>
    <w:lvl w:ilvl="7" w:tplc="041F0019" w:tentative="1">
      <w:start w:val="1"/>
      <w:numFmt w:val="lowerLetter"/>
      <w:lvlText w:val="%8."/>
      <w:lvlJc w:val="left"/>
      <w:pPr>
        <w:ind w:left="6108" w:hanging="360"/>
      </w:pPr>
    </w:lvl>
    <w:lvl w:ilvl="8" w:tplc="041F001B" w:tentative="1">
      <w:start w:val="1"/>
      <w:numFmt w:val="lowerRoman"/>
      <w:lvlText w:val="%9."/>
      <w:lvlJc w:val="right"/>
      <w:pPr>
        <w:ind w:left="6828" w:hanging="180"/>
      </w:pPr>
    </w:lvl>
  </w:abstractNum>
  <w:abstractNum w:abstractNumId="12">
    <w:nsid w:val="49976C0A"/>
    <w:multiLevelType w:val="hybridMultilevel"/>
    <w:tmpl w:val="2ED281F4"/>
    <w:lvl w:ilvl="0" w:tplc="041F000F">
      <w:start w:val="1"/>
      <w:numFmt w:val="decimal"/>
      <w:lvlText w:val="%1."/>
      <w:lvlJc w:val="left"/>
      <w:pPr>
        <w:ind w:left="1035" w:hanging="360"/>
      </w:pPr>
    </w:lvl>
    <w:lvl w:ilvl="1" w:tplc="041F0019" w:tentative="1">
      <w:start w:val="1"/>
      <w:numFmt w:val="lowerLetter"/>
      <w:lvlText w:val="%2."/>
      <w:lvlJc w:val="left"/>
      <w:pPr>
        <w:ind w:left="1755" w:hanging="360"/>
      </w:pPr>
    </w:lvl>
    <w:lvl w:ilvl="2" w:tplc="041F001B" w:tentative="1">
      <w:start w:val="1"/>
      <w:numFmt w:val="lowerRoman"/>
      <w:lvlText w:val="%3."/>
      <w:lvlJc w:val="right"/>
      <w:pPr>
        <w:ind w:left="2475" w:hanging="180"/>
      </w:pPr>
    </w:lvl>
    <w:lvl w:ilvl="3" w:tplc="041F000F" w:tentative="1">
      <w:start w:val="1"/>
      <w:numFmt w:val="decimal"/>
      <w:lvlText w:val="%4."/>
      <w:lvlJc w:val="left"/>
      <w:pPr>
        <w:ind w:left="3195" w:hanging="360"/>
      </w:pPr>
    </w:lvl>
    <w:lvl w:ilvl="4" w:tplc="041F0019" w:tentative="1">
      <w:start w:val="1"/>
      <w:numFmt w:val="lowerLetter"/>
      <w:lvlText w:val="%5."/>
      <w:lvlJc w:val="left"/>
      <w:pPr>
        <w:ind w:left="3915" w:hanging="360"/>
      </w:pPr>
    </w:lvl>
    <w:lvl w:ilvl="5" w:tplc="041F001B" w:tentative="1">
      <w:start w:val="1"/>
      <w:numFmt w:val="lowerRoman"/>
      <w:lvlText w:val="%6."/>
      <w:lvlJc w:val="right"/>
      <w:pPr>
        <w:ind w:left="4635" w:hanging="180"/>
      </w:pPr>
    </w:lvl>
    <w:lvl w:ilvl="6" w:tplc="041F000F" w:tentative="1">
      <w:start w:val="1"/>
      <w:numFmt w:val="decimal"/>
      <w:lvlText w:val="%7."/>
      <w:lvlJc w:val="left"/>
      <w:pPr>
        <w:ind w:left="5355" w:hanging="360"/>
      </w:pPr>
    </w:lvl>
    <w:lvl w:ilvl="7" w:tplc="041F0019" w:tentative="1">
      <w:start w:val="1"/>
      <w:numFmt w:val="lowerLetter"/>
      <w:lvlText w:val="%8."/>
      <w:lvlJc w:val="left"/>
      <w:pPr>
        <w:ind w:left="6075" w:hanging="360"/>
      </w:pPr>
    </w:lvl>
    <w:lvl w:ilvl="8" w:tplc="041F001B" w:tentative="1">
      <w:start w:val="1"/>
      <w:numFmt w:val="lowerRoman"/>
      <w:lvlText w:val="%9."/>
      <w:lvlJc w:val="right"/>
      <w:pPr>
        <w:ind w:left="6795" w:hanging="180"/>
      </w:pPr>
    </w:lvl>
  </w:abstractNum>
  <w:abstractNum w:abstractNumId="13">
    <w:nsid w:val="4A334C09"/>
    <w:multiLevelType w:val="multilevel"/>
    <w:tmpl w:val="638C4F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4FF23730"/>
    <w:multiLevelType w:val="hybridMultilevel"/>
    <w:tmpl w:val="C880710E"/>
    <w:lvl w:ilvl="0" w:tplc="041F000F">
      <w:start w:val="1"/>
      <w:numFmt w:val="decimal"/>
      <w:lvlText w:val="%1."/>
      <w:lvlJc w:val="left"/>
      <w:pPr>
        <w:ind w:left="765" w:hanging="360"/>
      </w:pPr>
    </w:lvl>
    <w:lvl w:ilvl="1" w:tplc="041F0019" w:tentative="1">
      <w:start w:val="1"/>
      <w:numFmt w:val="lowerLetter"/>
      <w:lvlText w:val="%2."/>
      <w:lvlJc w:val="left"/>
      <w:pPr>
        <w:ind w:left="1485" w:hanging="360"/>
      </w:pPr>
    </w:lvl>
    <w:lvl w:ilvl="2" w:tplc="041F001B" w:tentative="1">
      <w:start w:val="1"/>
      <w:numFmt w:val="lowerRoman"/>
      <w:lvlText w:val="%3."/>
      <w:lvlJc w:val="right"/>
      <w:pPr>
        <w:ind w:left="2205" w:hanging="180"/>
      </w:pPr>
    </w:lvl>
    <w:lvl w:ilvl="3" w:tplc="041F000F" w:tentative="1">
      <w:start w:val="1"/>
      <w:numFmt w:val="decimal"/>
      <w:lvlText w:val="%4."/>
      <w:lvlJc w:val="left"/>
      <w:pPr>
        <w:ind w:left="2925" w:hanging="360"/>
      </w:pPr>
    </w:lvl>
    <w:lvl w:ilvl="4" w:tplc="041F0019" w:tentative="1">
      <w:start w:val="1"/>
      <w:numFmt w:val="lowerLetter"/>
      <w:lvlText w:val="%5."/>
      <w:lvlJc w:val="left"/>
      <w:pPr>
        <w:ind w:left="3645" w:hanging="360"/>
      </w:pPr>
    </w:lvl>
    <w:lvl w:ilvl="5" w:tplc="041F001B" w:tentative="1">
      <w:start w:val="1"/>
      <w:numFmt w:val="lowerRoman"/>
      <w:lvlText w:val="%6."/>
      <w:lvlJc w:val="right"/>
      <w:pPr>
        <w:ind w:left="4365" w:hanging="180"/>
      </w:pPr>
    </w:lvl>
    <w:lvl w:ilvl="6" w:tplc="041F000F" w:tentative="1">
      <w:start w:val="1"/>
      <w:numFmt w:val="decimal"/>
      <w:lvlText w:val="%7."/>
      <w:lvlJc w:val="left"/>
      <w:pPr>
        <w:ind w:left="5085" w:hanging="360"/>
      </w:pPr>
    </w:lvl>
    <w:lvl w:ilvl="7" w:tplc="041F0019" w:tentative="1">
      <w:start w:val="1"/>
      <w:numFmt w:val="lowerLetter"/>
      <w:lvlText w:val="%8."/>
      <w:lvlJc w:val="left"/>
      <w:pPr>
        <w:ind w:left="5805" w:hanging="360"/>
      </w:pPr>
    </w:lvl>
    <w:lvl w:ilvl="8" w:tplc="041F001B" w:tentative="1">
      <w:start w:val="1"/>
      <w:numFmt w:val="lowerRoman"/>
      <w:lvlText w:val="%9."/>
      <w:lvlJc w:val="right"/>
      <w:pPr>
        <w:ind w:left="6525" w:hanging="180"/>
      </w:pPr>
    </w:lvl>
  </w:abstractNum>
  <w:abstractNum w:abstractNumId="15">
    <w:nsid w:val="50744AB4"/>
    <w:multiLevelType w:val="multilevel"/>
    <w:tmpl w:val="38FC83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58917E7A"/>
    <w:multiLevelType w:val="hybridMultilevel"/>
    <w:tmpl w:val="B394B90A"/>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7">
    <w:nsid w:val="5C836921"/>
    <w:multiLevelType w:val="hybridMultilevel"/>
    <w:tmpl w:val="D8AC012E"/>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8">
    <w:nsid w:val="60B60357"/>
    <w:multiLevelType w:val="multilevel"/>
    <w:tmpl w:val="B76AE4EE"/>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9">
    <w:nsid w:val="62791904"/>
    <w:multiLevelType w:val="hybridMultilevel"/>
    <w:tmpl w:val="C2E68ABE"/>
    <w:lvl w:ilvl="0" w:tplc="041F0001">
      <w:start w:val="1"/>
      <w:numFmt w:val="bullet"/>
      <w:lvlText w:val=""/>
      <w:lvlJc w:val="left"/>
      <w:pPr>
        <w:ind w:left="1068" w:hanging="360"/>
      </w:pPr>
      <w:rPr>
        <w:rFonts w:ascii="Symbol" w:hAnsi="Symbol" w:hint="default"/>
      </w:rPr>
    </w:lvl>
    <w:lvl w:ilvl="1" w:tplc="041F0003" w:tentative="1">
      <w:start w:val="1"/>
      <w:numFmt w:val="bullet"/>
      <w:lvlText w:val="o"/>
      <w:lvlJc w:val="left"/>
      <w:pPr>
        <w:ind w:left="1788" w:hanging="360"/>
      </w:pPr>
      <w:rPr>
        <w:rFonts w:ascii="Courier New" w:hAnsi="Courier New" w:cs="Courier New" w:hint="default"/>
      </w:rPr>
    </w:lvl>
    <w:lvl w:ilvl="2" w:tplc="041F0005" w:tentative="1">
      <w:start w:val="1"/>
      <w:numFmt w:val="bullet"/>
      <w:lvlText w:val=""/>
      <w:lvlJc w:val="left"/>
      <w:pPr>
        <w:ind w:left="2508" w:hanging="360"/>
      </w:pPr>
      <w:rPr>
        <w:rFonts w:ascii="Wingdings" w:hAnsi="Wingdings" w:hint="default"/>
      </w:rPr>
    </w:lvl>
    <w:lvl w:ilvl="3" w:tplc="041F0001" w:tentative="1">
      <w:start w:val="1"/>
      <w:numFmt w:val="bullet"/>
      <w:lvlText w:val=""/>
      <w:lvlJc w:val="left"/>
      <w:pPr>
        <w:ind w:left="3228" w:hanging="360"/>
      </w:pPr>
      <w:rPr>
        <w:rFonts w:ascii="Symbol" w:hAnsi="Symbol" w:hint="default"/>
      </w:rPr>
    </w:lvl>
    <w:lvl w:ilvl="4" w:tplc="041F0003" w:tentative="1">
      <w:start w:val="1"/>
      <w:numFmt w:val="bullet"/>
      <w:lvlText w:val="o"/>
      <w:lvlJc w:val="left"/>
      <w:pPr>
        <w:ind w:left="3948" w:hanging="360"/>
      </w:pPr>
      <w:rPr>
        <w:rFonts w:ascii="Courier New" w:hAnsi="Courier New" w:cs="Courier New" w:hint="default"/>
      </w:rPr>
    </w:lvl>
    <w:lvl w:ilvl="5" w:tplc="041F0005" w:tentative="1">
      <w:start w:val="1"/>
      <w:numFmt w:val="bullet"/>
      <w:lvlText w:val=""/>
      <w:lvlJc w:val="left"/>
      <w:pPr>
        <w:ind w:left="4668" w:hanging="360"/>
      </w:pPr>
      <w:rPr>
        <w:rFonts w:ascii="Wingdings" w:hAnsi="Wingdings" w:hint="default"/>
      </w:rPr>
    </w:lvl>
    <w:lvl w:ilvl="6" w:tplc="041F0001" w:tentative="1">
      <w:start w:val="1"/>
      <w:numFmt w:val="bullet"/>
      <w:lvlText w:val=""/>
      <w:lvlJc w:val="left"/>
      <w:pPr>
        <w:ind w:left="5388" w:hanging="360"/>
      </w:pPr>
      <w:rPr>
        <w:rFonts w:ascii="Symbol" w:hAnsi="Symbol" w:hint="default"/>
      </w:rPr>
    </w:lvl>
    <w:lvl w:ilvl="7" w:tplc="041F0003" w:tentative="1">
      <w:start w:val="1"/>
      <w:numFmt w:val="bullet"/>
      <w:lvlText w:val="o"/>
      <w:lvlJc w:val="left"/>
      <w:pPr>
        <w:ind w:left="6108" w:hanging="360"/>
      </w:pPr>
      <w:rPr>
        <w:rFonts w:ascii="Courier New" w:hAnsi="Courier New" w:cs="Courier New" w:hint="default"/>
      </w:rPr>
    </w:lvl>
    <w:lvl w:ilvl="8" w:tplc="041F0005" w:tentative="1">
      <w:start w:val="1"/>
      <w:numFmt w:val="bullet"/>
      <w:lvlText w:val=""/>
      <w:lvlJc w:val="left"/>
      <w:pPr>
        <w:ind w:left="6828" w:hanging="360"/>
      </w:pPr>
      <w:rPr>
        <w:rFonts w:ascii="Wingdings" w:hAnsi="Wingdings" w:hint="default"/>
      </w:rPr>
    </w:lvl>
  </w:abstractNum>
  <w:abstractNum w:abstractNumId="20">
    <w:nsid w:val="65BA63E7"/>
    <w:multiLevelType w:val="hybridMultilevel"/>
    <w:tmpl w:val="5CC09624"/>
    <w:lvl w:ilvl="0" w:tplc="258835E8">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1">
    <w:nsid w:val="705E0BBA"/>
    <w:multiLevelType w:val="hybridMultilevel"/>
    <w:tmpl w:val="2E500312"/>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2">
    <w:nsid w:val="780A5732"/>
    <w:multiLevelType w:val="hybridMultilevel"/>
    <w:tmpl w:val="80C81F40"/>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3">
    <w:nsid w:val="78227FEE"/>
    <w:multiLevelType w:val="hybridMultilevel"/>
    <w:tmpl w:val="40CE699E"/>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4">
    <w:nsid w:val="7D5161DA"/>
    <w:multiLevelType w:val="multilevel"/>
    <w:tmpl w:val="7808339E"/>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num w:numId="1">
    <w:abstractNumId w:val="21"/>
  </w:num>
  <w:num w:numId="2">
    <w:abstractNumId w:val="16"/>
  </w:num>
  <w:num w:numId="3">
    <w:abstractNumId w:val="7"/>
  </w:num>
  <w:num w:numId="4">
    <w:abstractNumId w:val="19"/>
  </w:num>
  <w:num w:numId="5">
    <w:abstractNumId w:val="2"/>
  </w:num>
  <w:num w:numId="6">
    <w:abstractNumId w:val="5"/>
  </w:num>
  <w:num w:numId="7">
    <w:abstractNumId w:val="1"/>
  </w:num>
  <w:num w:numId="8">
    <w:abstractNumId w:val="18"/>
  </w:num>
  <w:num w:numId="9">
    <w:abstractNumId w:val="11"/>
  </w:num>
  <w:num w:numId="10">
    <w:abstractNumId w:val="20"/>
  </w:num>
  <w:num w:numId="11">
    <w:abstractNumId w:val="17"/>
  </w:num>
  <w:num w:numId="12">
    <w:abstractNumId w:val="6"/>
  </w:num>
  <w:num w:numId="13">
    <w:abstractNumId w:val="22"/>
  </w:num>
  <w:num w:numId="14">
    <w:abstractNumId w:val="4"/>
  </w:num>
  <w:num w:numId="15">
    <w:abstractNumId w:val="10"/>
  </w:num>
  <w:num w:numId="16">
    <w:abstractNumId w:val="24"/>
  </w:num>
  <w:num w:numId="17">
    <w:abstractNumId w:val="13"/>
  </w:num>
  <w:num w:numId="18">
    <w:abstractNumId w:val="15"/>
  </w:num>
  <w:num w:numId="19">
    <w:abstractNumId w:val="0"/>
  </w:num>
  <w:num w:numId="20">
    <w:abstractNumId w:val="3"/>
  </w:num>
  <w:num w:numId="21">
    <w:abstractNumId w:val="8"/>
  </w:num>
  <w:num w:numId="22">
    <w:abstractNumId w:val="9"/>
  </w:num>
  <w:num w:numId="23">
    <w:abstractNumId w:val="12"/>
  </w:num>
  <w:num w:numId="24">
    <w:abstractNumId w:val="14"/>
  </w:num>
  <w:num w:numId="25">
    <w:abstractNumId w:val="2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7"/>
  <w:hideSpellingErrors/>
  <w:defaultTabStop w:val="709"/>
  <w:hyphenationZone w:val="425"/>
  <w:drawingGridHorizontalSpacing w:val="110"/>
  <w:displayHorizontalDrawingGridEvery w:val="2"/>
  <w:characterSpacingControl w:val="doNotCompress"/>
  <w:footnotePr>
    <w:footnote w:id="-1"/>
    <w:footnote w:id="0"/>
  </w:footnotePr>
  <w:endnotePr>
    <w:endnote w:id="-1"/>
    <w:endnote w:id="0"/>
  </w:endnotePr>
  <w:compat/>
  <w:rsids>
    <w:rsidRoot w:val="00980147"/>
    <w:rsid w:val="00000BDA"/>
    <w:rsid w:val="0000242E"/>
    <w:rsid w:val="0000302C"/>
    <w:rsid w:val="0000640C"/>
    <w:rsid w:val="00014FC5"/>
    <w:rsid w:val="000203F6"/>
    <w:rsid w:val="00023291"/>
    <w:rsid w:val="000237F2"/>
    <w:rsid w:val="000258A7"/>
    <w:rsid w:val="00027233"/>
    <w:rsid w:val="00030F98"/>
    <w:rsid w:val="000427CD"/>
    <w:rsid w:val="00042FE3"/>
    <w:rsid w:val="00056DE2"/>
    <w:rsid w:val="000663FD"/>
    <w:rsid w:val="000871BA"/>
    <w:rsid w:val="00092F56"/>
    <w:rsid w:val="00096D9D"/>
    <w:rsid w:val="000A1798"/>
    <w:rsid w:val="000B160E"/>
    <w:rsid w:val="000B1E2C"/>
    <w:rsid w:val="000C03FE"/>
    <w:rsid w:val="000C0510"/>
    <w:rsid w:val="000C1C66"/>
    <w:rsid w:val="000C31F8"/>
    <w:rsid w:val="000E2D31"/>
    <w:rsid w:val="000E4418"/>
    <w:rsid w:val="000E67C3"/>
    <w:rsid w:val="000E7B1F"/>
    <w:rsid w:val="000F15ED"/>
    <w:rsid w:val="000F3D82"/>
    <w:rsid w:val="000F4EDE"/>
    <w:rsid w:val="001002AC"/>
    <w:rsid w:val="001019CC"/>
    <w:rsid w:val="001019FF"/>
    <w:rsid w:val="00101A2B"/>
    <w:rsid w:val="00102BD6"/>
    <w:rsid w:val="0010625A"/>
    <w:rsid w:val="00113678"/>
    <w:rsid w:val="001142CB"/>
    <w:rsid w:val="0012117F"/>
    <w:rsid w:val="00122E88"/>
    <w:rsid w:val="00127C8B"/>
    <w:rsid w:val="0013678B"/>
    <w:rsid w:val="00160165"/>
    <w:rsid w:val="00171009"/>
    <w:rsid w:val="001715F4"/>
    <w:rsid w:val="0018173C"/>
    <w:rsid w:val="00181FC4"/>
    <w:rsid w:val="00183034"/>
    <w:rsid w:val="00185CC8"/>
    <w:rsid w:val="00192E05"/>
    <w:rsid w:val="001A0C82"/>
    <w:rsid w:val="001C1C1A"/>
    <w:rsid w:val="001C364D"/>
    <w:rsid w:val="001D10BF"/>
    <w:rsid w:val="001D1F67"/>
    <w:rsid w:val="001D53C7"/>
    <w:rsid w:val="001D6ACF"/>
    <w:rsid w:val="00203B95"/>
    <w:rsid w:val="00210B22"/>
    <w:rsid w:val="00213972"/>
    <w:rsid w:val="00217A53"/>
    <w:rsid w:val="0023527C"/>
    <w:rsid w:val="0024230C"/>
    <w:rsid w:val="002508E0"/>
    <w:rsid w:val="002666A2"/>
    <w:rsid w:val="0028148F"/>
    <w:rsid w:val="00283E4F"/>
    <w:rsid w:val="0029503F"/>
    <w:rsid w:val="002A1BA4"/>
    <w:rsid w:val="002A495C"/>
    <w:rsid w:val="002B2B2F"/>
    <w:rsid w:val="002B583F"/>
    <w:rsid w:val="002B5D59"/>
    <w:rsid w:val="002C14F3"/>
    <w:rsid w:val="002C1BF5"/>
    <w:rsid w:val="002E66E8"/>
    <w:rsid w:val="002E7A83"/>
    <w:rsid w:val="002F4D75"/>
    <w:rsid w:val="00300730"/>
    <w:rsid w:val="00301746"/>
    <w:rsid w:val="0030579E"/>
    <w:rsid w:val="00305ADD"/>
    <w:rsid w:val="00310A58"/>
    <w:rsid w:val="00320B64"/>
    <w:rsid w:val="00327ABE"/>
    <w:rsid w:val="00331ED7"/>
    <w:rsid w:val="0033376C"/>
    <w:rsid w:val="00333CA5"/>
    <w:rsid w:val="00336A5F"/>
    <w:rsid w:val="00353523"/>
    <w:rsid w:val="003567B1"/>
    <w:rsid w:val="003576F3"/>
    <w:rsid w:val="003605BC"/>
    <w:rsid w:val="00370EA5"/>
    <w:rsid w:val="00382CFB"/>
    <w:rsid w:val="00394CE0"/>
    <w:rsid w:val="00395C59"/>
    <w:rsid w:val="00396720"/>
    <w:rsid w:val="003A4CF2"/>
    <w:rsid w:val="003B0EE8"/>
    <w:rsid w:val="003B3077"/>
    <w:rsid w:val="003C4DEE"/>
    <w:rsid w:val="003C59C9"/>
    <w:rsid w:val="003D0DFF"/>
    <w:rsid w:val="003E1F7F"/>
    <w:rsid w:val="003E460C"/>
    <w:rsid w:val="003E65C4"/>
    <w:rsid w:val="003F45C8"/>
    <w:rsid w:val="003F78E0"/>
    <w:rsid w:val="004161EB"/>
    <w:rsid w:val="0041707E"/>
    <w:rsid w:val="004256CE"/>
    <w:rsid w:val="00432666"/>
    <w:rsid w:val="00445C1F"/>
    <w:rsid w:val="0044641B"/>
    <w:rsid w:val="0046061F"/>
    <w:rsid w:val="00467793"/>
    <w:rsid w:val="00473C6A"/>
    <w:rsid w:val="00474EA8"/>
    <w:rsid w:val="00475BDB"/>
    <w:rsid w:val="004814A9"/>
    <w:rsid w:val="004836EF"/>
    <w:rsid w:val="0049083E"/>
    <w:rsid w:val="00491597"/>
    <w:rsid w:val="0049286E"/>
    <w:rsid w:val="0049687B"/>
    <w:rsid w:val="004A0DB8"/>
    <w:rsid w:val="004A495B"/>
    <w:rsid w:val="004B1F1E"/>
    <w:rsid w:val="004B3EFF"/>
    <w:rsid w:val="004B6B26"/>
    <w:rsid w:val="004C0E24"/>
    <w:rsid w:val="004C4BF0"/>
    <w:rsid w:val="004C6465"/>
    <w:rsid w:val="004C797C"/>
    <w:rsid w:val="004D041C"/>
    <w:rsid w:val="004E07E3"/>
    <w:rsid w:val="004E19AB"/>
    <w:rsid w:val="004E250A"/>
    <w:rsid w:val="004E45C4"/>
    <w:rsid w:val="004E5566"/>
    <w:rsid w:val="004F0E74"/>
    <w:rsid w:val="004F15C6"/>
    <w:rsid w:val="004F1FB7"/>
    <w:rsid w:val="004F43BE"/>
    <w:rsid w:val="00500346"/>
    <w:rsid w:val="00500864"/>
    <w:rsid w:val="00500C13"/>
    <w:rsid w:val="0050605E"/>
    <w:rsid w:val="00515631"/>
    <w:rsid w:val="00526F23"/>
    <w:rsid w:val="00527BBB"/>
    <w:rsid w:val="005303EC"/>
    <w:rsid w:val="005344EF"/>
    <w:rsid w:val="00540002"/>
    <w:rsid w:val="0054184D"/>
    <w:rsid w:val="0055357E"/>
    <w:rsid w:val="00554286"/>
    <w:rsid w:val="005547BA"/>
    <w:rsid w:val="00557F51"/>
    <w:rsid w:val="00572805"/>
    <w:rsid w:val="005747BE"/>
    <w:rsid w:val="0057493F"/>
    <w:rsid w:val="00582A77"/>
    <w:rsid w:val="0058393D"/>
    <w:rsid w:val="00586896"/>
    <w:rsid w:val="005876CD"/>
    <w:rsid w:val="00595489"/>
    <w:rsid w:val="005979E6"/>
    <w:rsid w:val="005A071F"/>
    <w:rsid w:val="005B4CBC"/>
    <w:rsid w:val="005C6AE5"/>
    <w:rsid w:val="005E2483"/>
    <w:rsid w:val="005F3AD9"/>
    <w:rsid w:val="005F466F"/>
    <w:rsid w:val="00601E8C"/>
    <w:rsid w:val="00614E25"/>
    <w:rsid w:val="00626944"/>
    <w:rsid w:val="006334E6"/>
    <w:rsid w:val="006370E3"/>
    <w:rsid w:val="00655238"/>
    <w:rsid w:val="00655567"/>
    <w:rsid w:val="00657413"/>
    <w:rsid w:val="0066642E"/>
    <w:rsid w:val="0066783E"/>
    <w:rsid w:val="006717AD"/>
    <w:rsid w:val="00671EA6"/>
    <w:rsid w:val="006737EE"/>
    <w:rsid w:val="00677B5F"/>
    <w:rsid w:val="006911F3"/>
    <w:rsid w:val="0069343B"/>
    <w:rsid w:val="00693EE6"/>
    <w:rsid w:val="006A1328"/>
    <w:rsid w:val="006A4024"/>
    <w:rsid w:val="006A5580"/>
    <w:rsid w:val="006A652E"/>
    <w:rsid w:val="006A76EF"/>
    <w:rsid w:val="006C1F82"/>
    <w:rsid w:val="006C218E"/>
    <w:rsid w:val="006D1188"/>
    <w:rsid w:val="006E2A69"/>
    <w:rsid w:val="006E48F1"/>
    <w:rsid w:val="006F1CDF"/>
    <w:rsid w:val="006F34FA"/>
    <w:rsid w:val="0071637D"/>
    <w:rsid w:val="00742A83"/>
    <w:rsid w:val="007453E2"/>
    <w:rsid w:val="007500A5"/>
    <w:rsid w:val="00754E60"/>
    <w:rsid w:val="00756137"/>
    <w:rsid w:val="00766BE8"/>
    <w:rsid w:val="007675A2"/>
    <w:rsid w:val="00774EBF"/>
    <w:rsid w:val="007830EE"/>
    <w:rsid w:val="007846B7"/>
    <w:rsid w:val="00793AE6"/>
    <w:rsid w:val="007A6855"/>
    <w:rsid w:val="007B1622"/>
    <w:rsid w:val="007B47FA"/>
    <w:rsid w:val="007E1CF3"/>
    <w:rsid w:val="007E1D70"/>
    <w:rsid w:val="007E44AB"/>
    <w:rsid w:val="007F0809"/>
    <w:rsid w:val="007F3677"/>
    <w:rsid w:val="007F4B6E"/>
    <w:rsid w:val="007F52F6"/>
    <w:rsid w:val="00816A61"/>
    <w:rsid w:val="00824071"/>
    <w:rsid w:val="00835C76"/>
    <w:rsid w:val="00840883"/>
    <w:rsid w:val="008604B3"/>
    <w:rsid w:val="00860C55"/>
    <w:rsid w:val="0086212B"/>
    <w:rsid w:val="008630F3"/>
    <w:rsid w:val="00865DCD"/>
    <w:rsid w:val="00872567"/>
    <w:rsid w:val="00877B4C"/>
    <w:rsid w:val="008863DC"/>
    <w:rsid w:val="00894B23"/>
    <w:rsid w:val="008A186A"/>
    <w:rsid w:val="008A394E"/>
    <w:rsid w:val="008A6548"/>
    <w:rsid w:val="008A727A"/>
    <w:rsid w:val="008B5015"/>
    <w:rsid w:val="008B514B"/>
    <w:rsid w:val="008C0353"/>
    <w:rsid w:val="008C7FD6"/>
    <w:rsid w:val="008D352B"/>
    <w:rsid w:val="008D39AD"/>
    <w:rsid w:val="008D424E"/>
    <w:rsid w:val="008D60AC"/>
    <w:rsid w:val="008D7075"/>
    <w:rsid w:val="008E2673"/>
    <w:rsid w:val="008E645D"/>
    <w:rsid w:val="008F448A"/>
    <w:rsid w:val="009060E3"/>
    <w:rsid w:val="00914E7B"/>
    <w:rsid w:val="009268BC"/>
    <w:rsid w:val="00927756"/>
    <w:rsid w:val="00931AE1"/>
    <w:rsid w:val="009421B7"/>
    <w:rsid w:val="0094241F"/>
    <w:rsid w:val="00945814"/>
    <w:rsid w:val="009500DC"/>
    <w:rsid w:val="00960FD4"/>
    <w:rsid w:val="00980147"/>
    <w:rsid w:val="00985AE2"/>
    <w:rsid w:val="00985CDB"/>
    <w:rsid w:val="00985F52"/>
    <w:rsid w:val="009935C4"/>
    <w:rsid w:val="009A1202"/>
    <w:rsid w:val="009A34A0"/>
    <w:rsid w:val="009A5192"/>
    <w:rsid w:val="009B206A"/>
    <w:rsid w:val="009B3AE7"/>
    <w:rsid w:val="009B4EAC"/>
    <w:rsid w:val="009B590F"/>
    <w:rsid w:val="009C211B"/>
    <w:rsid w:val="009C2A54"/>
    <w:rsid w:val="009C626B"/>
    <w:rsid w:val="009C6BB2"/>
    <w:rsid w:val="009D287A"/>
    <w:rsid w:val="009E218E"/>
    <w:rsid w:val="009E29D6"/>
    <w:rsid w:val="009E4FAF"/>
    <w:rsid w:val="009F4776"/>
    <w:rsid w:val="009F4B0B"/>
    <w:rsid w:val="00A0536C"/>
    <w:rsid w:val="00A20491"/>
    <w:rsid w:val="00A25556"/>
    <w:rsid w:val="00A27109"/>
    <w:rsid w:val="00A37C79"/>
    <w:rsid w:val="00A40E05"/>
    <w:rsid w:val="00A45A59"/>
    <w:rsid w:val="00A521A0"/>
    <w:rsid w:val="00A53BB4"/>
    <w:rsid w:val="00A54D36"/>
    <w:rsid w:val="00A56157"/>
    <w:rsid w:val="00A64752"/>
    <w:rsid w:val="00A74F73"/>
    <w:rsid w:val="00A80FC8"/>
    <w:rsid w:val="00A81C1E"/>
    <w:rsid w:val="00AA188B"/>
    <w:rsid w:val="00AB5363"/>
    <w:rsid w:val="00AB540F"/>
    <w:rsid w:val="00AC505E"/>
    <w:rsid w:val="00AC612D"/>
    <w:rsid w:val="00AE2D0D"/>
    <w:rsid w:val="00AE75E9"/>
    <w:rsid w:val="00AF0C4A"/>
    <w:rsid w:val="00AF38BB"/>
    <w:rsid w:val="00AF3B2F"/>
    <w:rsid w:val="00AF5E3E"/>
    <w:rsid w:val="00B0405A"/>
    <w:rsid w:val="00B06DEB"/>
    <w:rsid w:val="00B13C75"/>
    <w:rsid w:val="00B17B61"/>
    <w:rsid w:val="00B21D44"/>
    <w:rsid w:val="00B24350"/>
    <w:rsid w:val="00B348AE"/>
    <w:rsid w:val="00B358C0"/>
    <w:rsid w:val="00B50C13"/>
    <w:rsid w:val="00B629C6"/>
    <w:rsid w:val="00B678C3"/>
    <w:rsid w:val="00B67936"/>
    <w:rsid w:val="00B822CF"/>
    <w:rsid w:val="00B83097"/>
    <w:rsid w:val="00B849C6"/>
    <w:rsid w:val="00B84D91"/>
    <w:rsid w:val="00B86EA8"/>
    <w:rsid w:val="00B87B1A"/>
    <w:rsid w:val="00BA1A77"/>
    <w:rsid w:val="00BA79BF"/>
    <w:rsid w:val="00BB41BB"/>
    <w:rsid w:val="00BC01AB"/>
    <w:rsid w:val="00BC23EB"/>
    <w:rsid w:val="00BC6934"/>
    <w:rsid w:val="00BC6C1A"/>
    <w:rsid w:val="00BD01EC"/>
    <w:rsid w:val="00BD1DAE"/>
    <w:rsid w:val="00BD617D"/>
    <w:rsid w:val="00BD7351"/>
    <w:rsid w:val="00BE0981"/>
    <w:rsid w:val="00BF46D4"/>
    <w:rsid w:val="00BF754E"/>
    <w:rsid w:val="00C137C0"/>
    <w:rsid w:val="00C24A4D"/>
    <w:rsid w:val="00C27C39"/>
    <w:rsid w:val="00C429DE"/>
    <w:rsid w:val="00C46E5E"/>
    <w:rsid w:val="00C46EE0"/>
    <w:rsid w:val="00C57011"/>
    <w:rsid w:val="00C57A06"/>
    <w:rsid w:val="00C63C52"/>
    <w:rsid w:val="00C63FD2"/>
    <w:rsid w:val="00C72720"/>
    <w:rsid w:val="00C74EE0"/>
    <w:rsid w:val="00C75DC5"/>
    <w:rsid w:val="00C86648"/>
    <w:rsid w:val="00CA69D5"/>
    <w:rsid w:val="00CB1BC1"/>
    <w:rsid w:val="00CC5ED4"/>
    <w:rsid w:val="00CD0165"/>
    <w:rsid w:val="00CD13A9"/>
    <w:rsid w:val="00CD4674"/>
    <w:rsid w:val="00CE2FCA"/>
    <w:rsid w:val="00CE4AB3"/>
    <w:rsid w:val="00CF01B3"/>
    <w:rsid w:val="00CF08A0"/>
    <w:rsid w:val="00CF3F11"/>
    <w:rsid w:val="00D07BC6"/>
    <w:rsid w:val="00D106C8"/>
    <w:rsid w:val="00D15A54"/>
    <w:rsid w:val="00D2500E"/>
    <w:rsid w:val="00D37588"/>
    <w:rsid w:val="00D42EBD"/>
    <w:rsid w:val="00D43D31"/>
    <w:rsid w:val="00D54766"/>
    <w:rsid w:val="00D606E0"/>
    <w:rsid w:val="00D86D8D"/>
    <w:rsid w:val="00D95B56"/>
    <w:rsid w:val="00DB013D"/>
    <w:rsid w:val="00DB01E0"/>
    <w:rsid w:val="00DB1444"/>
    <w:rsid w:val="00DB7BC5"/>
    <w:rsid w:val="00DC3A6D"/>
    <w:rsid w:val="00DC7151"/>
    <w:rsid w:val="00DD0490"/>
    <w:rsid w:val="00DD4F3D"/>
    <w:rsid w:val="00DD5406"/>
    <w:rsid w:val="00DD54F1"/>
    <w:rsid w:val="00DD585D"/>
    <w:rsid w:val="00DD5D07"/>
    <w:rsid w:val="00DD669D"/>
    <w:rsid w:val="00DE0D19"/>
    <w:rsid w:val="00DF008B"/>
    <w:rsid w:val="00DF41C4"/>
    <w:rsid w:val="00DF54B2"/>
    <w:rsid w:val="00DF6BF7"/>
    <w:rsid w:val="00E00EE8"/>
    <w:rsid w:val="00E024A5"/>
    <w:rsid w:val="00E06ED2"/>
    <w:rsid w:val="00E1186A"/>
    <w:rsid w:val="00E12295"/>
    <w:rsid w:val="00E15742"/>
    <w:rsid w:val="00E2641C"/>
    <w:rsid w:val="00E268DE"/>
    <w:rsid w:val="00E434BE"/>
    <w:rsid w:val="00E515B0"/>
    <w:rsid w:val="00E635EF"/>
    <w:rsid w:val="00E66F45"/>
    <w:rsid w:val="00E70FD3"/>
    <w:rsid w:val="00E7186D"/>
    <w:rsid w:val="00E76401"/>
    <w:rsid w:val="00E829C8"/>
    <w:rsid w:val="00E91D54"/>
    <w:rsid w:val="00E94F06"/>
    <w:rsid w:val="00E974E1"/>
    <w:rsid w:val="00E975DB"/>
    <w:rsid w:val="00EA4606"/>
    <w:rsid w:val="00EA76BD"/>
    <w:rsid w:val="00EB095D"/>
    <w:rsid w:val="00EB2781"/>
    <w:rsid w:val="00EC2F2D"/>
    <w:rsid w:val="00EC6195"/>
    <w:rsid w:val="00EE2389"/>
    <w:rsid w:val="00F021C9"/>
    <w:rsid w:val="00F04CF2"/>
    <w:rsid w:val="00F14852"/>
    <w:rsid w:val="00F14C7B"/>
    <w:rsid w:val="00F20241"/>
    <w:rsid w:val="00F23235"/>
    <w:rsid w:val="00F36D7D"/>
    <w:rsid w:val="00F36E7B"/>
    <w:rsid w:val="00F4452E"/>
    <w:rsid w:val="00F510EE"/>
    <w:rsid w:val="00F56B41"/>
    <w:rsid w:val="00F57078"/>
    <w:rsid w:val="00F615BB"/>
    <w:rsid w:val="00F710C2"/>
    <w:rsid w:val="00F83748"/>
    <w:rsid w:val="00F83AE8"/>
    <w:rsid w:val="00F85039"/>
    <w:rsid w:val="00F90EA0"/>
    <w:rsid w:val="00F9253D"/>
    <w:rsid w:val="00F92C05"/>
    <w:rsid w:val="00FA0EF1"/>
    <w:rsid w:val="00FA55DD"/>
    <w:rsid w:val="00FB72F5"/>
    <w:rsid w:val="00FC1091"/>
    <w:rsid w:val="00FC13EB"/>
    <w:rsid w:val="00FC4E79"/>
    <w:rsid w:val="00FD35D9"/>
    <w:rsid w:val="00FE05AD"/>
    <w:rsid w:val="00FE3B63"/>
    <w:rsid w:val="00FF149C"/>
    <w:rsid w:val="00FF2302"/>
  </w:rsids>
  <m:mathPr>
    <m:mathFont m:val="Cambria Math"/>
    <m:brkBin m:val="before"/>
    <m:brkBinSub m:val="--"/>
    <m:smallFrac m:val="off"/>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tr-TR" w:eastAsia="tr-TR" w:bidi="ar-SA"/>
      </w:rPr>
    </w:rPrDefault>
    <w:pPrDefault>
      <w:pPr>
        <w:spacing w:line="36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A0DB8"/>
    <w:pPr>
      <w:jc w:val="both"/>
    </w:pPr>
    <w:rPr>
      <w:rFonts w:ascii="Times New Roman" w:hAnsi="Times New Roman"/>
      <w:sz w:val="24"/>
      <w:szCs w:val="22"/>
      <w:lang w:eastAsia="en-US"/>
    </w:rPr>
  </w:style>
  <w:style w:type="paragraph" w:styleId="Balk1">
    <w:name w:val="heading 1"/>
    <w:basedOn w:val="Normal"/>
    <w:link w:val="Balk1Char"/>
    <w:uiPriority w:val="9"/>
    <w:qFormat/>
    <w:rsid w:val="006911F3"/>
    <w:pPr>
      <w:outlineLvl w:val="0"/>
    </w:pPr>
    <w:rPr>
      <w:rFonts w:eastAsia="Times New Roman"/>
      <w:b/>
      <w:bCs/>
      <w:kern w:val="36"/>
      <w:sz w:val="28"/>
      <w:szCs w:val="48"/>
      <w:lang w:eastAsia="tr-TR"/>
    </w:rPr>
  </w:style>
  <w:style w:type="paragraph" w:styleId="Balk2">
    <w:name w:val="heading 2"/>
    <w:basedOn w:val="Normal"/>
    <w:next w:val="Normal"/>
    <w:link w:val="Balk2Char"/>
    <w:uiPriority w:val="9"/>
    <w:unhideWhenUsed/>
    <w:qFormat/>
    <w:rsid w:val="006911F3"/>
    <w:pPr>
      <w:keepNext/>
      <w:outlineLvl w:val="1"/>
    </w:pPr>
    <w:rPr>
      <w:rFonts w:eastAsia="Times New Roman"/>
      <w:b/>
      <w:bCs/>
      <w:iCs/>
      <w:szCs w:val="28"/>
    </w:rPr>
  </w:style>
  <w:style w:type="paragraph" w:styleId="Balk3">
    <w:name w:val="heading 3"/>
    <w:basedOn w:val="Normal"/>
    <w:next w:val="Normal"/>
    <w:link w:val="Balk3Char"/>
    <w:uiPriority w:val="9"/>
    <w:unhideWhenUsed/>
    <w:qFormat/>
    <w:rsid w:val="006911F3"/>
    <w:pPr>
      <w:keepNext/>
      <w:outlineLvl w:val="2"/>
    </w:pPr>
    <w:rPr>
      <w:rFonts w:eastAsia="Times New Roman"/>
      <w:b/>
      <w:bCs/>
      <w:szCs w:val="26"/>
    </w:rPr>
  </w:style>
  <w:style w:type="paragraph" w:styleId="Balk4">
    <w:name w:val="heading 4"/>
    <w:basedOn w:val="Normal"/>
    <w:next w:val="Normal"/>
    <w:link w:val="Balk4Char"/>
    <w:uiPriority w:val="9"/>
    <w:unhideWhenUsed/>
    <w:qFormat/>
    <w:rsid w:val="00333CA5"/>
    <w:pPr>
      <w:keepNext/>
      <w:outlineLvl w:val="3"/>
    </w:pPr>
    <w:rPr>
      <w:rFonts w:eastAsia="Times New Roman"/>
      <w:b/>
      <w:bCs/>
      <w:szCs w:val="28"/>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qFormat/>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uiPriority w:val="9"/>
    <w:rsid w:val="006911F3"/>
    <w:rPr>
      <w:rFonts w:ascii="Times New Roman" w:eastAsia="Times New Roman" w:hAnsi="Times New Roman"/>
      <w:b/>
      <w:bCs/>
      <w:kern w:val="36"/>
      <w:sz w:val="28"/>
      <w:szCs w:val="48"/>
    </w:rPr>
  </w:style>
  <w:style w:type="character" w:customStyle="1" w:styleId="Balk2Char">
    <w:name w:val="Başlık 2 Char"/>
    <w:basedOn w:val="VarsaylanParagrafYazTipi"/>
    <w:link w:val="Balk2"/>
    <w:uiPriority w:val="9"/>
    <w:rsid w:val="006911F3"/>
    <w:rPr>
      <w:rFonts w:ascii="Times New Roman" w:eastAsia="Times New Roman" w:hAnsi="Times New Roman" w:cs="Times New Roman"/>
      <w:b/>
      <w:bCs/>
      <w:iCs/>
      <w:sz w:val="24"/>
      <w:szCs w:val="28"/>
      <w:lang w:eastAsia="en-US"/>
    </w:rPr>
  </w:style>
  <w:style w:type="character" w:customStyle="1" w:styleId="Balk3Char">
    <w:name w:val="Başlık 3 Char"/>
    <w:basedOn w:val="VarsaylanParagrafYazTipi"/>
    <w:link w:val="Balk3"/>
    <w:uiPriority w:val="9"/>
    <w:rsid w:val="006911F3"/>
    <w:rPr>
      <w:rFonts w:ascii="Times New Roman" w:eastAsia="Times New Roman" w:hAnsi="Times New Roman" w:cs="Times New Roman"/>
      <w:b/>
      <w:bCs/>
      <w:sz w:val="24"/>
      <w:szCs w:val="26"/>
      <w:lang w:eastAsia="en-US"/>
    </w:rPr>
  </w:style>
  <w:style w:type="character" w:customStyle="1" w:styleId="Balk4Char">
    <w:name w:val="Başlık 4 Char"/>
    <w:basedOn w:val="VarsaylanParagrafYazTipi"/>
    <w:link w:val="Balk4"/>
    <w:uiPriority w:val="9"/>
    <w:rsid w:val="00333CA5"/>
    <w:rPr>
      <w:rFonts w:ascii="Times New Roman" w:eastAsia="Times New Roman" w:hAnsi="Times New Roman" w:cs="Times New Roman"/>
      <w:b/>
      <w:bCs/>
      <w:sz w:val="24"/>
      <w:szCs w:val="28"/>
      <w:lang w:eastAsia="en-US"/>
    </w:rPr>
  </w:style>
  <w:style w:type="paragraph" w:styleId="BalonMetni">
    <w:name w:val="Balloon Text"/>
    <w:basedOn w:val="Normal"/>
    <w:link w:val="BalonMetniChar"/>
    <w:uiPriority w:val="99"/>
    <w:semiHidden/>
    <w:unhideWhenUsed/>
    <w:rsid w:val="00980147"/>
    <w:pPr>
      <w:spacing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980147"/>
    <w:rPr>
      <w:rFonts w:ascii="Tahoma" w:hAnsi="Tahoma" w:cs="Tahoma"/>
      <w:sz w:val="16"/>
      <w:szCs w:val="16"/>
    </w:rPr>
  </w:style>
  <w:style w:type="paragraph" w:styleId="ListeParagraf">
    <w:name w:val="List Paragraph"/>
    <w:basedOn w:val="Normal"/>
    <w:uiPriority w:val="34"/>
    <w:qFormat/>
    <w:rsid w:val="00980147"/>
    <w:pPr>
      <w:ind w:left="720"/>
      <w:contextualSpacing/>
    </w:pPr>
  </w:style>
  <w:style w:type="paragraph" w:customStyle="1" w:styleId="Default">
    <w:name w:val="Default"/>
    <w:rsid w:val="00980147"/>
    <w:pPr>
      <w:autoSpaceDE w:val="0"/>
      <w:autoSpaceDN w:val="0"/>
      <w:adjustRightInd w:val="0"/>
    </w:pPr>
    <w:rPr>
      <w:rFonts w:ascii="Arial" w:hAnsi="Arial" w:cs="Arial"/>
      <w:color w:val="000000"/>
      <w:sz w:val="24"/>
      <w:szCs w:val="24"/>
      <w:lang w:eastAsia="en-US"/>
    </w:rPr>
  </w:style>
  <w:style w:type="character" w:styleId="AklamaBavurusu">
    <w:name w:val="annotation reference"/>
    <w:basedOn w:val="VarsaylanParagrafYazTipi"/>
    <w:uiPriority w:val="99"/>
    <w:semiHidden/>
    <w:unhideWhenUsed/>
    <w:rsid w:val="00980147"/>
    <w:rPr>
      <w:sz w:val="16"/>
      <w:szCs w:val="16"/>
    </w:rPr>
  </w:style>
  <w:style w:type="paragraph" w:styleId="AklamaMetni">
    <w:name w:val="annotation text"/>
    <w:basedOn w:val="Normal"/>
    <w:link w:val="AklamaMetniChar"/>
    <w:uiPriority w:val="99"/>
    <w:unhideWhenUsed/>
    <w:rsid w:val="00980147"/>
    <w:rPr>
      <w:sz w:val="20"/>
      <w:szCs w:val="20"/>
    </w:rPr>
  </w:style>
  <w:style w:type="character" w:customStyle="1" w:styleId="AklamaMetniChar">
    <w:name w:val="Açıklama Metni Char"/>
    <w:basedOn w:val="VarsaylanParagrafYazTipi"/>
    <w:link w:val="AklamaMetni"/>
    <w:uiPriority w:val="99"/>
    <w:rsid w:val="00980147"/>
    <w:rPr>
      <w:rFonts w:ascii="Calibri" w:eastAsia="Calibri" w:hAnsi="Calibri" w:cs="Times New Roman"/>
      <w:sz w:val="20"/>
      <w:szCs w:val="20"/>
    </w:rPr>
  </w:style>
  <w:style w:type="paragraph" w:styleId="NormalWeb">
    <w:name w:val="Normal (Web)"/>
    <w:basedOn w:val="Normal"/>
    <w:uiPriority w:val="99"/>
    <w:unhideWhenUsed/>
    <w:rsid w:val="00980147"/>
    <w:pPr>
      <w:spacing w:before="100" w:beforeAutospacing="1" w:after="100" w:afterAutospacing="1" w:line="240" w:lineRule="auto"/>
    </w:pPr>
    <w:rPr>
      <w:rFonts w:eastAsia="Times New Roman"/>
      <w:szCs w:val="24"/>
      <w:lang w:eastAsia="tr-TR"/>
    </w:rPr>
  </w:style>
  <w:style w:type="character" w:styleId="Kpr">
    <w:name w:val="Hyperlink"/>
    <w:basedOn w:val="VarsaylanParagrafYazTipi"/>
    <w:uiPriority w:val="99"/>
    <w:unhideWhenUsed/>
    <w:rsid w:val="00980147"/>
    <w:rPr>
      <w:strike w:val="0"/>
      <w:dstrike w:val="0"/>
      <w:color w:val="336633"/>
      <w:u w:val="none"/>
      <w:effect w:val="none"/>
    </w:rPr>
  </w:style>
  <w:style w:type="character" w:customStyle="1" w:styleId="a-size-large">
    <w:name w:val="a-size-large"/>
    <w:basedOn w:val="VarsaylanParagrafYazTipi"/>
    <w:rsid w:val="00980147"/>
  </w:style>
  <w:style w:type="character" w:customStyle="1" w:styleId="apple-converted-space">
    <w:name w:val="apple-converted-space"/>
    <w:basedOn w:val="VarsaylanParagrafYazTipi"/>
    <w:rsid w:val="00980147"/>
  </w:style>
  <w:style w:type="character" w:customStyle="1" w:styleId="a-size-medium">
    <w:name w:val="a-size-medium"/>
    <w:basedOn w:val="VarsaylanParagrafYazTipi"/>
    <w:rsid w:val="00980147"/>
  </w:style>
  <w:style w:type="character" w:customStyle="1" w:styleId="a-color-secondary">
    <w:name w:val="a-color-secondary"/>
    <w:basedOn w:val="VarsaylanParagrafYazTipi"/>
    <w:rsid w:val="00980147"/>
  </w:style>
  <w:style w:type="character" w:customStyle="1" w:styleId="highlight">
    <w:name w:val="highlight"/>
    <w:basedOn w:val="VarsaylanParagrafYazTipi"/>
    <w:rsid w:val="00980147"/>
  </w:style>
  <w:style w:type="paragraph" w:styleId="stbilgi">
    <w:name w:val="header"/>
    <w:basedOn w:val="Normal"/>
    <w:link w:val="stbilgiChar"/>
    <w:uiPriority w:val="99"/>
    <w:semiHidden/>
    <w:unhideWhenUsed/>
    <w:rsid w:val="009B206A"/>
    <w:pPr>
      <w:tabs>
        <w:tab w:val="center" w:pos="4536"/>
        <w:tab w:val="right" w:pos="9072"/>
      </w:tabs>
      <w:spacing w:line="240" w:lineRule="auto"/>
    </w:pPr>
  </w:style>
  <w:style w:type="character" w:customStyle="1" w:styleId="stbilgiChar">
    <w:name w:val="Üstbilgi Char"/>
    <w:basedOn w:val="VarsaylanParagrafYazTipi"/>
    <w:link w:val="stbilgi"/>
    <w:uiPriority w:val="99"/>
    <w:semiHidden/>
    <w:rsid w:val="009B206A"/>
  </w:style>
  <w:style w:type="paragraph" w:styleId="Altbilgi">
    <w:name w:val="footer"/>
    <w:basedOn w:val="Normal"/>
    <w:link w:val="AltbilgiChar"/>
    <w:uiPriority w:val="99"/>
    <w:unhideWhenUsed/>
    <w:rsid w:val="009B206A"/>
    <w:pPr>
      <w:tabs>
        <w:tab w:val="center" w:pos="4536"/>
        <w:tab w:val="right" w:pos="9072"/>
      </w:tabs>
      <w:spacing w:line="240" w:lineRule="auto"/>
    </w:pPr>
  </w:style>
  <w:style w:type="character" w:customStyle="1" w:styleId="AltbilgiChar">
    <w:name w:val="Altbilgi Char"/>
    <w:basedOn w:val="VarsaylanParagrafYazTipi"/>
    <w:link w:val="Altbilgi"/>
    <w:uiPriority w:val="99"/>
    <w:rsid w:val="009B206A"/>
  </w:style>
  <w:style w:type="paragraph" w:styleId="AklamaKonusu">
    <w:name w:val="annotation subject"/>
    <w:basedOn w:val="AklamaMetni"/>
    <w:next w:val="AklamaMetni"/>
    <w:link w:val="AklamaKonusuChar"/>
    <w:uiPriority w:val="99"/>
    <w:semiHidden/>
    <w:unhideWhenUsed/>
    <w:rsid w:val="00DF41C4"/>
    <w:rPr>
      <w:b/>
      <w:bCs/>
    </w:rPr>
  </w:style>
  <w:style w:type="character" w:customStyle="1" w:styleId="AklamaKonusuChar">
    <w:name w:val="Açıklama Konusu Char"/>
    <w:basedOn w:val="AklamaMetniChar"/>
    <w:link w:val="AklamaKonusu"/>
    <w:uiPriority w:val="99"/>
    <w:semiHidden/>
    <w:rsid w:val="00DF41C4"/>
    <w:rPr>
      <w:rFonts w:ascii="Calibri" w:eastAsia="Calibri" w:hAnsi="Calibri" w:cs="Times New Roman"/>
      <w:b/>
      <w:bCs/>
      <w:sz w:val="20"/>
      <w:szCs w:val="20"/>
      <w:lang w:eastAsia="en-US"/>
    </w:rPr>
  </w:style>
  <w:style w:type="table" w:customStyle="1" w:styleId="AkKlavuz-Vurgu11">
    <w:name w:val="Açık Kılavuz - Vurgu 11"/>
    <w:basedOn w:val="NormalTablo"/>
    <w:uiPriority w:val="62"/>
    <w:rsid w:val="007E1D70"/>
    <w:tblPr>
      <w:tblStyleRowBandSize w:val="1"/>
      <w:tblStyleColBandSize w:val="1"/>
      <w:tblInd w:w="0"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AkGlgeleme1">
    <w:name w:val="Açık Gölgeleme1"/>
    <w:basedOn w:val="NormalTablo"/>
    <w:uiPriority w:val="60"/>
    <w:rsid w:val="007E1D70"/>
    <w:rPr>
      <w:color w:val="00000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TabloKlavuzu">
    <w:name w:val="Table Grid"/>
    <w:basedOn w:val="NormalTablo"/>
    <w:uiPriority w:val="59"/>
    <w:rsid w:val="007E1D70"/>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ResimYazs">
    <w:name w:val="caption"/>
    <w:basedOn w:val="Normal"/>
    <w:next w:val="Normal"/>
    <w:uiPriority w:val="35"/>
    <w:unhideWhenUsed/>
    <w:qFormat/>
    <w:rsid w:val="00DD5D07"/>
    <w:rPr>
      <w:b/>
      <w:bCs/>
      <w:szCs w:val="20"/>
    </w:rPr>
  </w:style>
  <w:style w:type="paragraph" w:styleId="T1">
    <w:name w:val="toc 1"/>
    <w:basedOn w:val="Normal"/>
    <w:next w:val="Normal"/>
    <w:autoRedefine/>
    <w:uiPriority w:val="39"/>
    <w:unhideWhenUsed/>
    <w:rsid w:val="000258A7"/>
    <w:pPr>
      <w:spacing w:after="100"/>
    </w:pPr>
  </w:style>
  <w:style w:type="paragraph" w:styleId="T2">
    <w:name w:val="toc 2"/>
    <w:basedOn w:val="Normal"/>
    <w:next w:val="Normal"/>
    <w:autoRedefine/>
    <w:uiPriority w:val="39"/>
    <w:unhideWhenUsed/>
    <w:rsid w:val="000258A7"/>
    <w:pPr>
      <w:spacing w:after="100"/>
      <w:ind w:left="220"/>
    </w:pPr>
  </w:style>
  <w:style w:type="paragraph" w:styleId="T3">
    <w:name w:val="toc 3"/>
    <w:basedOn w:val="Normal"/>
    <w:next w:val="Normal"/>
    <w:autoRedefine/>
    <w:uiPriority w:val="39"/>
    <w:unhideWhenUsed/>
    <w:rsid w:val="000258A7"/>
    <w:pPr>
      <w:tabs>
        <w:tab w:val="right" w:leader="dot" w:pos="8777"/>
      </w:tabs>
      <w:ind w:left="709"/>
    </w:pPr>
  </w:style>
  <w:style w:type="paragraph" w:styleId="T4">
    <w:name w:val="toc 4"/>
    <w:basedOn w:val="Normal"/>
    <w:next w:val="Normal"/>
    <w:autoRedefine/>
    <w:uiPriority w:val="39"/>
    <w:unhideWhenUsed/>
    <w:rsid w:val="000258A7"/>
    <w:pPr>
      <w:tabs>
        <w:tab w:val="right" w:leader="dot" w:pos="8777"/>
      </w:tabs>
      <w:ind w:left="2127" w:hanging="851"/>
    </w:pPr>
  </w:style>
  <w:style w:type="paragraph" w:styleId="ekillerTablosu">
    <w:name w:val="table of figures"/>
    <w:basedOn w:val="Normal"/>
    <w:next w:val="Normal"/>
    <w:uiPriority w:val="99"/>
    <w:unhideWhenUsed/>
    <w:rsid w:val="000258A7"/>
  </w:style>
  <w:style w:type="paragraph" w:customStyle="1" w:styleId="Normal2">
    <w:name w:val="Normal+2"/>
    <w:basedOn w:val="Normal"/>
    <w:next w:val="Normal"/>
    <w:uiPriority w:val="99"/>
    <w:rsid w:val="004A0DB8"/>
    <w:pPr>
      <w:autoSpaceDE w:val="0"/>
      <w:autoSpaceDN w:val="0"/>
      <w:adjustRightInd w:val="0"/>
      <w:spacing w:line="240" w:lineRule="auto"/>
    </w:pPr>
    <w:rPr>
      <w:rFonts w:eastAsiaTheme="minorEastAsia"/>
      <w:szCs w:val="24"/>
      <w:lang w:eastAsia="tr-TR"/>
    </w:rPr>
  </w:style>
  <w:style w:type="paragraph" w:styleId="HTMLncedenBiimlendirilmi">
    <w:name w:val="HTML Preformatted"/>
    <w:basedOn w:val="Normal"/>
    <w:link w:val="HTMLncedenBiimlendirilmiChar"/>
    <w:uiPriority w:val="99"/>
    <w:unhideWhenUsed/>
    <w:rsid w:val="00AE2D0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eastAsia="Times New Roman" w:hAnsi="Courier New" w:cs="Courier New"/>
      <w:sz w:val="20"/>
      <w:szCs w:val="20"/>
      <w:lang w:eastAsia="tr-TR"/>
    </w:rPr>
  </w:style>
  <w:style w:type="character" w:customStyle="1" w:styleId="HTMLncedenBiimlendirilmiChar">
    <w:name w:val="HTML Önceden Biçimlendirilmiş Char"/>
    <w:basedOn w:val="VarsaylanParagrafYazTipi"/>
    <w:link w:val="HTMLncedenBiimlendirilmi"/>
    <w:uiPriority w:val="99"/>
    <w:rsid w:val="00AE2D0D"/>
    <w:rPr>
      <w:rFonts w:ascii="Courier New" w:eastAsia="Times New Roman" w:hAnsi="Courier New" w:cs="Courier New"/>
    </w:rPr>
  </w:style>
  <w:style w:type="paragraph" w:customStyle="1" w:styleId="Normal1">
    <w:name w:val="Normal1"/>
    <w:rsid w:val="00AE2D0D"/>
    <w:pPr>
      <w:spacing w:line="240" w:lineRule="auto"/>
    </w:pPr>
    <w:rPr>
      <w:rFonts w:ascii="Times New Roman" w:eastAsia="Times New Roman" w:hAnsi="Times New Roman"/>
      <w:color w:val="000000"/>
      <w:sz w:val="24"/>
      <w:szCs w:val="24"/>
    </w:rPr>
  </w:style>
  <w:style w:type="table" w:customStyle="1" w:styleId="3">
    <w:name w:val="3"/>
    <w:basedOn w:val="NormalTablo"/>
    <w:rsid w:val="00AE2D0D"/>
    <w:pPr>
      <w:spacing w:line="240" w:lineRule="auto"/>
    </w:pPr>
    <w:rPr>
      <w:rFonts w:ascii="Times New Roman" w:eastAsia="Times New Roman" w:hAnsi="Times New Roman"/>
      <w:color w:val="000000"/>
    </w:rPr>
    <w:tblPr>
      <w:tblStyleRowBandSize w:val="1"/>
      <w:tblStyleColBandSize w:val="1"/>
      <w:tblInd w:w="0" w:type="dxa"/>
      <w:tblCellMar>
        <w:top w:w="0" w:type="dxa"/>
        <w:left w:w="115" w:type="dxa"/>
        <w:bottom w:w="0" w:type="dxa"/>
        <w:right w:w="115" w:type="dxa"/>
      </w:tblCellMar>
    </w:tblPr>
  </w:style>
  <w:style w:type="character" w:customStyle="1" w:styleId="journaltitle">
    <w:name w:val="journaltitle"/>
    <w:basedOn w:val="VarsaylanParagrafYazTipi"/>
    <w:rsid w:val="00AE2D0D"/>
  </w:style>
  <w:style w:type="character" w:customStyle="1" w:styleId="journalsubtitle">
    <w:name w:val="journalsubtitle"/>
    <w:basedOn w:val="VarsaylanParagrafYazTipi"/>
    <w:rsid w:val="00AE2D0D"/>
  </w:style>
  <w:style w:type="character" w:customStyle="1" w:styleId="articlecitationyear">
    <w:name w:val="articlecitation_year"/>
    <w:basedOn w:val="VarsaylanParagrafYazTipi"/>
    <w:rsid w:val="00AE2D0D"/>
  </w:style>
  <w:style w:type="character" w:customStyle="1" w:styleId="articlecitationvolume">
    <w:name w:val="articlecitation_volume"/>
    <w:basedOn w:val="VarsaylanParagrafYazTipi"/>
    <w:rsid w:val="00AE2D0D"/>
  </w:style>
  <w:style w:type="character" w:styleId="Gl">
    <w:name w:val="Strong"/>
    <w:basedOn w:val="VarsaylanParagrafYazTipi"/>
    <w:uiPriority w:val="22"/>
    <w:qFormat/>
    <w:rsid w:val="00AE2D0D"/>
    <w:rPr>
      <w:b/>
      <w:bCs/>
    </w:rPr>
  </w:style>
  <w:style w:type="paragraph" w:customStyle="1" w:styleId="articledo">
    <w:name w:val="articledoı"/>
    <w:basedOn w:val="Normal"/>
    <w:rsid w:val="00AE2D0D"/>
    <w:pPr>
      <w:spacing w:before="100" w:beforeAutospacing="1" w:after="100" w:afterAutospacing="1" w:line="240" w:lineRule="auto"/>
      <w:jc w:val="left"/>
    </w:pPr>
    <w:rPr>
      <w:rFonts w:eastAsia="Times New Roman"/>
      <w:szCs w:val="24"/>
      <w:lang w:eastAsia="tr-TR"/>
    </w:rPr>
  </w:style>
  <w:style w:type="paragraph" w:customStyle="1" w:styleId="copyright">
    <w:name w:val="copyright"/>
    <w:basedOn w:val="Normal"/>
    <w:rsid w:val="00AE2D0D"/>
    <w:pPr>
      <w:spacing w:before="100" w:beforeAutospacing="1" w:after="100" w:afterAutospacing="1" w:line="240" w:lineRule="auto"/>
      <w:jc w:val="left"/>
    </w:pPr>
    <w:rPr>
      <w:rFonts w:eastAsia="Times New Roman"/>
      <w:szCs w:val="24"/>
      <w:lang w:eastAsia="tr-TR"/>
    </w:rPr>
  </w:style>
  <w:style w:type="character" w:customStyle="1" w:styleId="occurrence">
    <w:name w:val="occurrence"/>
    <w:basedOn w:val="VarsaylanParagrafYazTipi"/>
    <w:rsid w:val="00AE2D0D"/>
  </w:style>
  <w:style w:type="character" w:customStyle="1" w:styleId="mixed-citation">
    <w:name w:val="mixed-citation"/>
    <w:basedOn w:val="VarsaylanParagrafYazTipi"/>
    <w:rsid w:val="00AE2D0D"/>
  </w:style>
  <w:style w:type="character" w:customStyle="1" w:styleId="ref-journal">
    <w:name w:val="ref-journal"/>
    <w:basedOn w:val="VarsaylanParagrafYazTipi"/>
    <w:rsid w:val="00AE2D0D"/>
  </w:style>
  <w:style w:type="character" w:customStyle="1" w:styleId="ref-vol">
    <w:name w:val="ref-vol"/>
    <w:basedOn w:val="VarsaylanParagrafYazTipi"/>
    <w:rsid w:val="00AE2D0D"/>
  </w:style>
  <w:style w:type="character" w:customStyle="1" w:styleId="nowrap">
    <w:name w:val="nowrap"/>
    <w:basedOn w:val="VarsaylanParagrafYazTipi"/>
    <w:rsid w:val="00AE2D0D"/>
  </w:style>
  <w:style w:type="paragraph" w:customStyle="1" w:styleId="DecimalAligned">
    <w:name w:val="Decimal Aligned"/>
    <w:basedOn w:val="Normal"/>
    <w:uiPriority w:val="40"/>
    <w:qFormat/>
    <w:rsid w:val="00AE2D0D"/>
    <w:pPr>
      <w:tabs>
        <w:tab w:val="decimal" w:pos="360"/>
      </w:tabs>
      <w:spacing w:after="200" w:line="276" w:lineRule="auto"/>
      <w:jc w:val="left"/>
    </w:pPr>
    <w:rPr>
      <w:rFonts w:asciiTheme="minorHAnsi" w:eastAsiaTheme="minorEastAsia" w:hAnsiTheme="minorHAnsi" w:cstheme="minorBidi"/>
      <w:sz w:val="22"/>
    </w:rPr>
  </w:style>
  <w:style w:type="character" w:styleId="HafifVurgulama">
    <w:name w:val="Subtle Emphasis"/>
    <w:basedOn w:val="VarsaylanParagrafYazTipi"/>
    <w:uiPriority w:val="19"/>
    <w:qFormat/>
    <w:rsid w:val="00AE2D0D"/>
    <w:rPr>
      <w:rFonts w:eastAsiaTheme="minorEastAsia" w:cstheme="minorBidi"/>
      <w:bCs w:val="0"/>
      <w:i/>
      <w:iCs/>
      <w:color w:val="808080" w:themeColor="text1" w:themeTint="7F"/>
      <w:szCs w:val="22"/>
      <w:lang w:val="tr-TR"/>
    </w:rPr>
  </w:style>
  <w:style w:type="table" w:customStyle="1" w:styleId="AkGlgeleme-Vurgu11">
    <w:name w:val="Açık Gölgeleme - Vurgu 11"/>
    <w:basedOn w:val="NormalTablo"/>
    <w:uiPriority w:val="60"/>
    <w:rsid w:val="00AE2D0D"/>
    <w:pPr>
      <w:spacing w:line="240" w:lineRule="auto"/>
    </w:pPr>
    <w:rPr>
      <w:rFonts w:asciiTheme="minorHAnsi" w:eastAsiaTheme="minorEastAsia" w:hAnsiTheme="minorHAnsi" w:cstheme="minorBidi"/>
      <w:color w:val="365F91" w:themeColor="accent1" w:themeShade="BF"/>
      <w:sz w:val="22"/>
      <w:szCs w:val="22"/>
      <w:lang w:eastAsia="en-US"/>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character" w:customStyle="1" w:styleId="hps">
    <w:name w:val="hps"/>
    <w:basedOn w:val="VarsaylanParagrafYazTipi"/>
    <w:rsid w:val="004C4BF0"/>
  </w:style>
  <w:style w:type="character" w:customStyle="1" w:styleId="atn">
    <w:name w:val="atn"/>
    <w:basedOn w:val="VarsaylanParagrafYazTipi"/>
    <w:rsid w:val="002F4D75"/>
  </w:style>
  <w:style w:type="character" w:styleId="Vurgu">
    <w:name w:val="Emphasis"/>
    <w:uiPriority w:val="20"/>
    <w:qFormat/>
    <w:rsid w:val="00B67936"/>
    <w:rPr>
      <w:i/>
      <w:iCs/>
    </w:rPr>
  </w:style>
  <w:style w:type="character" w:customStyle="1" w:styleId="element-citation">
    <w:name w:val="element-citation"/>
    <w:basedOn w:val="VarsaylanParagrafYazTipi"/>
    <w:rsid w:val="00B6793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tr-TR" w:eastAsia="tr-T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ncbi.nlm.nih.gov/pubmed/?term=Xiong%20J%5BAuthor%5D&amp;cauthor=true&amp;cauthor_uid=26639440" TargetMode="External"/><Relationship Id="rId18" Type="http://schemas.openxmlformats.org/officeDocument/2006/relationships/hyperlink" Target="http://www.ncbi.nlm.nih.gov/pubmed/?term=Zhao%20J%5BAuthor%5D&amp;cauthor=true&amp;cauthor_uid=26639440" TargetMode="External"/><Relationship Id="rId26" Type="http://schemas.openxmlformats.org/officeDocument/2006/relationships/hyperlink" Target="http://www.ncbi.nlm.nih.gov/pubmed/?term=Petcherski%20S%5BAuthor%5D&amp;cauthor=true&amp;cauthor_uid=16086939" TargetMode="External"/><Relationship Id="rId39" Type="http://schemas.openxmlformats.org/officeDocument/2006/relationships/hyperlink" Target="http://www.ncbi.nlm.nih.gov/pubmed/?term=Herzog%20CA%5BAuthor%5D&amp;cauthor=true&amp;cauthor_uid=18362253" TargetMode="External"/><Relationship Id="rId3" Type="http://schemas.openxmlformats.org/officeDocument/2006/relationships/styles" Target="styles.xml"/><Relationship Id="rId21" Type="http://schemas.openxmlformats.org/officeDocument/2006/relationships/hyperlink" Target="http://www.ncbi.nlm.nih.gov/pubmed/?term=Wang%20Y%5BAuthor%5D&amp;cauthor=true&amp;cauthor_uid=18474763" TargetMode="External"/><Relationship Id="rId34" Type="http://schemas.openxmlformats.org/officeDocument/2006/relationships/hyperlink" Target="http://www.ncbi.nlm.nih.gov/pubmed/?term=Lauri%20G%5BAuthor%5D&amp;cauthor=true&amp;cauthor_uid=19789449" TargetMode="External"/><Relationship Id="rId42" Type="http://schemas.openxmlformats.org/officeDocument/2006/relationships/hyperlink" Target="http://www.ncbi.nlm.nih.gov/pubmed/?term=Kume%20K%5BAuthor%5D&amp;cauthor=true&amp;cauthor_uid=23993293" TargetMode="External"/><Relationship Id="rId47" Type="http://schemas.openxmlformats.org/officeDocument/2006/relationships/hyperlink" Target="http://www.ncbi.nlm.nih.gov/pubmed/?term=Araki%20R%5BAuthor%5D&amp;cauthor=true&amp;cauthor_uid=23993293" TargetMode="External"/><Relationship Id="rId50" Type="http://schemas.openxmlformats.org/officeDocument/2006/relationships/hyperlink" Target="http://www.ncbi.nlm.nih.gov/pubmed/?term=Rubino%20M%5BAuthor%5D&amp;cauthor=true&amp;cauthor_uid=21146674" TargetMode="Externa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hyperlink" Target="http://www.ncbi.nlm.nih.gov/pubmed/?term=Wang%20Y%5BAuthor%5D&amp;cauthor=true&amp;cauthor_uid=26639440" TargetMode="External"/><Relationship Id="rId25" Type="http://schemas.openxmlformats.org/officeDocument/2006/relationships/hyperlink" Target="http://www.ncbi.nlm.nih.gov/pubmed/?term=Hammerman%20H%5BAuthor%5D&amp;cauthor=true&amp;cauthor_uid=16086939" TargetMode="External"/><Relationship Id="rId33" Type="http://schemas.openxmlformats.org/officeDocument/2006/relationships/hyperlink" Target="http://www.ncbi.nlm.nih.gov/pubmed/?term=De%20Metrio%20M%5BAuthor%5D&amp;cauthor=true&amp;cauthor_uid=19789449" TargetMode="External"/><Relationship Id="rId38" Type="http://schemas.openxmlformats.org/officeDocument/2006/relationships/hyperlink" Target="http://www.ncbi.nlm.nih.gov/pubmed/?term=McClellan%20WM%5BAuthor%5D&amp;cauthor=true&amp;cauthor_uid=18362253" TargetMode="External"/><Relationship Id="rId46" Type="http://schemas.openxmlformats.org/officeDocument/2006/relationships/hyperlink" Target="http://www.ncbi.nlm.nih.gov/pubmed/?term=Hattori%20S%5BAuthor%5D&amp;cauthor=true&amp;cauthor_uid=23993293" TargetMode="External"/><Relationship Id="rId2" Type="http://schemas.openxmlformats.org/officeDocument/2006/relationships/numbering" Target="numbering.xml"/><Relationship Id="rId16" Type="http://schemas.openxmlformats.org/officeDocument/2006/relationships/hyperlink" Target="http://www.ncbi.nlm.nih.gov/pubmed/?term=Nie%20L%5BAuthor%5D&amp;cauthor=true&amp;cauthor_uid=26639440" TargetMode="External"/><Relationship Id="rId20" Type="http://schemas.openxmlformats.org/officeDocument/2006/relationships/hyperlink" Target="http://www.ncbi.nlm.nih.gov/pubmed/?term=Coca%20SG%5BAuthor%5D&amp;cauthor=true&amp;cauthor_uid=18474763" TargetMode="External"/><Relationship Id="rId29" Type="http://schemas.openxmlformats.org/officeDocument/2006/relationships/hyperlink" Target="http://www.ncbi.nlm.nih.gov/pubmed/?term=Kapeliovich%20M%5BAuthor%5D&amp;cauthor=true&amp;cauthor_uid=16086939" TargetMode="External"/><Relationship Id="rId41" Type="http://schemas.openxmlformats.org/officeDocument/2006/relationships/hyperlink" Target="http://www.ncbi.nlm.nih.gov/pubmed/?term=Eggers%20PW%5BAuthor%5D&amp;cauthor=true&amp;cauthor_uid=18362253"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biomedcentral.com/sfx_links?ui=1471-2318-13-113&amp;bibl=B1" TargetMode="External"/><Relationship Id="rId24" Type="http://schemas.openxmlformats.org/officeDocument/2006/relationships/hyperlink" Target="http://www.ncbi.nlm.nih.gov/pubmed/?term=Goldberg%20A%5BAuthor%5D&amp;cauthor=true&amp;cauthor_uid=16086939" TargetMode="External"/><Relationship Id="rId32" Type="http://schemas.openxmlformats.org/officeDocument/2006/relationships/hyperlink" Target="http://www.ncbi.nlm.nih.gov/pubmed/?term=Campodonico%20J%5BAuthor%5D&amp;cauthor=true&amp;cauthor_uid=19789449" TargetMode="External"/><Relationship Id="rId37" Type="http://schemas.openxmlformats.org/officeDocument/2006/relationships/hyperlink" Target="http://www.ncbi.nlm.nih.gov/pubmed/?term=Warnock%20DG%5BAuthor%5D&amp;cauthor=true&amp;cauthor_uid=18362253" TargetMode="External"/><Relationship Id="rId40" Type="http://schemas.openxmlformats.org/officeDocument/2006/relationships/hyperlink" Target="http://www.ncbi.nlm.nih.gov/pubmed/?term=Kiefe%20CI%5BAuthor%5D&amp;cauthor=true&amp;cauthor_uid=18362253" TargetMode="External"/><Relationship Id="rId45" Type="http://schemas.openxmlformats.org/officeDocument/2006/relationships/hyperlink" Target="http://www.ncbi.nlm.nih.gov/pubmed/?term=Noda%20Y%5BAuthor%5D&amp;cauthor=true&amp;cauthor_uid=23993293" TargetMode="External"/><Relationship Id="rId53" Type="http://schemas.microsoft.com/office/2007/relationships/stylesWithEffects" Target="stylesWithEffects.xml"/><Relationship Id="rId5" Type="http://schemas.openxmlformats.org/officeDocument/2006/relationships/webSettings" Target="webSettings.xml"/><Relationship Id="rId15" Type="http://schemas.openxmlformats.org/officeDocument/2006/relationships/hyperlink" Target="http://www.ncbi.nlm.nih.gov/pubmed/?term=Hu%20Z%5BAuthor%5D&amp;cauthor=true&amp;cauthor_uid=26639440" TargetMode="External"/><Relationship Id="rId23" Type="http://schemas.openxmlformats.org/officeDocument/2006/relationships/hyperlink" Target="http://www.ncbi.nlm.nih.gov/pubmed/?term=Krumholz%20HM%5BAuthor%5D&amp;cauthor=true&amp;cauthor_uid=18474763" TargetMode="External"/><Relationship Id="rId28" Type="http://schemas.openxmlformats.org/officeDocument/2006/relationships/hyperlink" Target="http://www.ncbi.nlm.nih.gov/pubmed/?term=Yalonetsky%20S%5BAuthor%5D&amp;cauthor=true&amp;cauthor_uid=16086939" TargetMode="External"/><Relationship Id="rId36" Type="http://schemas.openxmlformats.org/officeDocument/2006/relationships/hyperlink" Target="http://www.ncbi.nlm.nih.gov/pubmed/?term=Newsome%20BB%5BAuthor%5D&amp;cauthor=true&amp;cauthor_uid=18362253" TargetMode="External"/><Relationship Id="rId49" Type="http://schemas.openxmlformats.org/officeDocument/2006/relationships/hyperlink" Target="http://www.ncbi.nlm.nih.gov/pubmed/?term=De%20Metrio%20M%5BAuthor%5D&amp;cauthor=true&amp;cauthor_uid=21146674" TargetMode="External"/><Relationship Id="rId10" Type="http://schemas.openxmlformats.org/officeDocument/2006/relationships/chart" Target="charts/chart1.xml"/><Relationship Id="rId19" Type="http://schemas.openxmlformats.org/officeDocument/2006/relationships/hyperlink" Target="http://www.ncbi.nlm.nih.gov/pubmed/?term=Parikh%20CR%5BAuthor%5D&amp;cauthor=true&amp;cauthor_uid=18474763" TargetMode="External"/><Relationship Id="rId31" Type="http://schemas.openxmlformats.org/officeDocument/2006/relationships/hyperlink" Target="http://www.ncbi.nlm.nih.gov/pubmed/?term=Assanelli%20E%5BAuthor%5D&amp;cauthor=true&amp;cauthor_uid=19789449" TargetMode="External"/><Relationship Id="rId44" Type="http://schemas.openxmlformats.org/officeDocument/2006/relationships/hyperlink" Target="http://www.ncbi.nlm.nih.gov/pubmed/?term=Adachi%20H%5BAuthor%5D&amp;cauthor=true&amp;cauthor_uid=23993293" TargetMode="External"/><Relationship Id="rId5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www.ncbi.nlm.nih.gov/pubmed/?term=Tang%20X%5BAuthor%5D&amp;cauthor=true&amp;cauthor_uid=26639440" TargetMode="External"/><Relationship Id="rId22" Type="http://schemas.openxmlformats.org/officeDocument/2006/relationships/hyperlink" Target="http://www.ncbi.nlm.nih.gov/pubmed/?term=Masoudi%20FA%5BAuthor%5D&amp;cauthor=true&amp;cauthor_uid=18474763" TargetMode="External"/><Relationship Id="rId27" Type="http://schemas.openxmlformats.org/officeDocument/2006/relationships/hyperlink" Target="http://www.ncbi.nlm.nih.gov/pubmed/?term=Zdorovyak%20A%5BAuthor%5D&amp;cauthor=true&amp;cauthor_uid=16086939" TargetMode="External"/><Relationship Id="rId30" Type="http://schemas.openxmlformats.org/officeDocument/2006/relationships/hyperlink" Target="http://www.ncbi.nlm.nih.gov/pubmed/?term=Marenzi%20G%5BAuthor%5D&amp;cauthor=true&amp;cauthor_uid=19789449" TargetMode="External"/><Relationship Id="rId35" Type="http://schemas.openxmlformats.org/officeDocument/2006/relationships/hyperlink" Target="http://www.ncbi.nlm.nih.gov/pubmed/?term=Marana%20I%5BAuthor%5D&amp;cauthor=true&amp;cauthor_uid=19789449" TargetMode="External"/><Relationship Id="rId43" Type="http://schemas.openxmlformats.org/officeDocument/2006/relationships/hyperlink" Target="http://www.ncbi.nlm.nih.gov/pubmed/?term=Yasuoka%20Y%5BAuthor%5D&amp;cauthor=true&amp;cauthor_uid=23993293" TargetMode="External"/><Relationship Id="rId48" Type="http://schemas.openxmlformats.org/officeDocument/2006/relationships/hyperlink" Target="http://www.ncbi.nlm.nih.gov/pubmed/?term=Marenzi%20G%5BAuthor%5D&amp;cauthor=true&amp;cauthor_uid=21146674" TargetMode="External"/><Relationship Id="rId8" Type="http://schemas.openxmlformats.org/officeDocument/2006/relationships/image" Target="media/image1.png"/><Relationship Id="rId51"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Kitap1" TargetMode="External"/></Relationships>
</file>

<file path=word/charts/chart1.xml><?xml version="1.0" encoding="utf-8"?>
<c:chartSpace xmlns:c="http://schemas.openxmlformats.org/drawingml/2006/chart" xmlns:a="http://schemas.openxmlformats.org/drawingml/2006/main" xmlns:r="http://schemas.openxmlformats.org/officeDocument/2006/relationships">
  <c:lang val="tr-TR"/>
  <c:chart>
    <c:title>
      <c:tx>
        <c:rich>
          <a:bodyPr/>
          <a:lstStyle/>
          <a:p>
            <a:pPr>
              <a:defRPr/>
            </a:pPr>
            <a:r>
              <a:rPr lang="tr-TR" sz="1800" b="0" i="0" u="none" strike="noStrike" baseline="0"/>
              <a:t>Hastanede mortalite</a:t>
            </a:r>
            <a:r>
              <a:rPr lang="tr-TR" sz="1800" b="1" i="0" u="none" strike="noStrike" baseline="0"/>
              <a:t> </a:t>
            </a:r>
            <a:endParaRPr lang="tr-TR"/>
          </a:p>
        </c:rich>
      </c:tx>
    </c:title>
    <c:plotArea>
      <c:layout/>
      <c:barChart>
        <c:barDir val="col"/>
        <c:grouping val="clustered"/>
        <c:ser>
          <c:idx val="0"/>
          <c:order val="0"/>
          <c:tx>
            <c:strRef>
              <c:f>Sayfa1!$I$1</c:f>
              <c:strCache>
                <c:ptCount val="1"/>
                <c:pt idx="0">
                  <c:v>(+)</c:v>
                </c:pt>
              </c:strCache>
            </c:strRef>
          </c:tx>
          <c:dLbls>
            <c:spPr>
              <a:noFill/>
              <a:ln>
                <a:noFill/>
              </a:ln>
              <a:effectLst/>
            </c:spPr>
            <c:showVal val="1"/>
            <c:extLst>
              <c:ext xmlns:c15="http://schemas.microsoft.com/office/drawing/2012/chart" uri="{CE6537A1-D6FC-4f65-9D91-7224C49458BB}">
                <c15:showLeaderLines val="0"/>
              </c:ext>
            </c:extLst>
          </c:dLbls>
          <c:cat>
            <c:strRef>
              <c:f>Sayfa1!$H$2:$H$3</c:f>
              <c:strCache>
                <c:ptCount val="2"/>
                <c:pt idx="0">
                  <c:v>Pre. ABH</c:v>
                </c:pt>
                <c:pt idx="1">
                  <c:v>Total ABH</c:v>
                </c:pt>
              </c:strCache>
            </c:strRef>
          </c:cat>
          <c:val>
            <c:numRef>
              <c:f>Sayfa1!$I$2:$I$3</c:f>
              <c:numCache>
                <c:formatCode>0.00%</c:formatCode>
                <c:ptCount val="2"/>
                <c:pt idx="0" formatCode="0%">
                  <c:v>0.25</c:v>
                </c:pt>
                <c:pt idx="1">
                  <c:v>0.28600000000000031</c:v>
                </c:pt>
              </c:numCache>
            </c:numRef>
          </c:val>
        </c:ser>
        <c:ser>
          <c:idx val="1"/>
          <c:order val="1"/>
          <c:tx>
            <c:strRef>
              <c:f>Sayfa1!$J$1</c:f>
              <c:strCache>
                <c:ptCount val="1"/>
                <c:pt idx="0">
                  <c:v>(-)</c:v>
                </c:pt>
              </c:strCache>
            </c:strRef>
          </c:tx>
          <c:dLbls>
            <c:spPr>
              <a:noFill/>
              <a:ln>
                <a:noFill/>
              </a:ln>
              <a:effectLst/>
            </c:spPr>
            <c:showVal val="1"/>
            <c:extLst>
              <c:ext xmlns:c15="http://schemas.microsoft.com/office/drawing/2012/chart" uri="{CE6537A1-D6FC-4f65-9D91-7224C49458BB}">
                <c15:showLeaderLines val="0"/>
              </c:ext>
            </c:extLst>
          </c:dLbls>
          <c:cat>
            <c:strRef>
              <c:f>Sayfa1!$H$2:$H$3</c:f>
              <c:strCache>
                <c:ptCount val="2"/>
                <c:pt idx="0">
                  <c:v>Pre. ABH</c:v>
                </c:pt>
                <c:pt idx="1">
                  <c:v>Total ABH</c:v>
                </c:pt>
              </c:strCache>
            </c:strRef>
          </c:cat>
          <c:val>
            <c:numRef>
              <c:f>Sayfa1!$J$2:$J$3</c:f>
              <c:numCache>
                <c:formatCode>0.00%</c:formatCode>
                <c:ptCount val="2"/>
                <c:pt idx="0">
                  <c:v>2.9000000000000036E-2</c:v>
                </c:pt>
                <c:pt idx="1">
                  <c:v>1.0999999999999998E-2</c:v>
                </c:pt>
              </c:numCache>
            </c:numRef>
          </c:val>
        </c:ser>
        <c:axId val="104270080"/>
        <c:axId val="62349696"/>
      </c:barChart>
      <c:catAx>
        <c:axId val="104270080"/>
        <c:scaling>
          <c:orientation val="minMax"/>
        </c:scaling>
        <c:axPos val="b"/>
        <c:numFmt formatCode="General" sourceLinked="0"/>
        <c:majorTickMark val="none"/>
        <c:tickLblPos val="nextTo"/>
        <c:crossAx val="62349696"/>
        <c:crosses val="autoZero"/>
        <c:auto val="1"/>
        <c:lblAlgn val="ctr"/>
        <c:lblOffset val="100"/>
      </c:catAx>
      <c:valAx>
        <c:axId val="62349696"/>
        <c:scaling>
          <c:orientation val="minMax"/>
        </c:scaling>
        <c:axPos val="l"/>
        <c:majorGridlines/>
        <c:numFmt formatCode="0%" sourceLinked="1"/>
        <c:majorTickMark val="none"/>
        <c:tickLblPos val="nextTo"/>
        <c:crossAx val="104270080"/>
        <c:crosses val="autoZero"/>
        <c:crossBetween val="between"/>
      </c:valAx>
    </c:plotArea>
    <c:legend>
      <c:legendPos val="r"/>
    </c:legend>
    <c:plotVisOnly val="1"/>
    <c:dispBlanksAs val="gap"/>
  </c:chart>
  <c:externalData r:id="rId1"/>
</c:chartSpace>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2D0B4D6-96C3-489C-B1C5-7B898C8799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131</TotalTime>
  <Pages>57</Pages>
  <Words>16966</Words>
  <Characters>96712</Characters>
  <Application>Microsoft Office Word</Application>
  <DocSecurity>0</DocSecurity>
  <Lines>805</Lines>
  <Paragraphs>226</Paragraphs>
  <ScaleCrop>false</ScaleCrop>
  <HeadingPairs>
    <vt:vector size="2" baseType="variant">
      <vt:variant>
        <vt:lpstr>Konu Başlığı</vt:lpstr>
      </vt:variant>
      <vt:variant>
        <vt:i4>1</vt:i4>
      </vt:variant>
    </vt:vector>
  </HeadingPairs>
  <TitlesOfParts>
    <vt:vector size="1" baseType="lpstr">
      <vt:lpstr/>
    </vt:vector>
  </TitlesOfParts>
  <Company>SilentAll Team</Company>
  <LinksUpToDate>false</LinksUpToDate>
  <CharactersWithSpaces>113452</CharactersWithSpaces>
  <SharedDoc>false</SharedDoc>
  <HLinks>
    <vt:vector size="36" baseType="variant">
      <vt:variant>
        <vt:i4>6029332</vt:i4>
      </vt:variant>
      <vt:variant>
        <vt:i4>69</vt:i4>
      </vt:variant>
      <vt:variant>
        <vt:i4>0</vt:i4>
      </vt:variant>
      <vt:variant>
        <vt:i4>5</vt:i4>
      </vt:variant>
      <vt:variant>
        <vt:lpwstr>http://www.amazon.com/Michael-W.-Rabow/e/B00EA04TEY/ref=dp_byline_cont_book_3</vt:lpwstr>
      </vt:variant>
      <vt:variant>
        <vt:lpwstr/>
      </vt:variant>
      <vt:variant>
        <vt:i4>25100320</vt:i4>
      </vt:variant>
      <vt:variant>
        <vt:i4>66</vt:i4>
      </vt:variant>
      <vt:variant>
        <vt:i4>0</vt:i4>
      </vt:variant>
      <vt:variant>
        <vt:i4>5</vt:i4>
      </vt:variant>
      <vt:variant>
        <vt:lpwstr>http://www.amazon.com/Stephen-J.-McPhee/e/B00IO8YXN0/ref=dp_byline_cont_book_2</vt:lpwstr>
      </vt:variant>
      <vt:variant>
        <vt:lpwstr/>
      </vt:variant>
      <vt:variant>
        <vt:i4>1835014</vt:i4>
      </vt:variant>
      <vt:variant>
        <vt:i4>63</vt:i4>
      </vt:variant>
      <vt:variant>
        <vt:i4>0</vt:i4>
      </vt:variant>
      <vt:variant>
        <vt:i4>5</vt:i4>
      </vt:variant>
      <vt:variant>
        <vt:lpwstr>http://www.amazon.com/s/ref=dp_byline_sr_book_1?ie=UTF8&amp;field-author=Maxine+Papadakis&amp;search-alias=books&amp;text=Maxine+Papadakis&amp;sort=relevancerank</vt:lpwstr>
      </vt:variant>
      <vt:variant>
        <vt:lpwstr/>
      </vt:variant>
      <vt:variant>
        <vt:i4>5046337</vt:i4>
      </vt:variant>
      <vt:variant>
        <vt:i4>60</vt:i4>
      </vt:variant>
      <vt:variant>
        <vt:i4>0</vt:i4>
      </vt:variant>
      <vt:variant>
        <vt:i4>5</vt:i4>
      </vt:variant>
      <vt:variant>
        <vt:lpwstr>http://www.uptodate.com/contents/erythropoietin-for-the-anemia-of-chronic-kidney-disease-in-hemodialysis-patients/abstract/19</vt:lpwstr>
      </vt:variant>
      <vt:variant>
        <vt:lpwstr/>
      </vt:variant>
      <vt:variant>
        <vt:i4>5046337</vt:i4>
      </vt:variant>
      <vt:variant>
        <vt:i4>57</vt:i4>
      </vt:variant>
      <vt:variant>
        <vt:i4>0</vt:i4>
      </vt:variant>
      <vt:variant>
        <vt:i4>5</vt:i4>
      </vt:variant>
      <vt:variant>
        <vt:lpwstr>http://www.uptodate.com/contents/erythropoietin-for-the-anemia-of-chronic-kidney-disease-in-hemodialysis-patients/abstract/18</vt:lpwstr>
      </vt:variant>
      <vt:variant>
        <vt:lpwstr/>
      </vt:variant>
      <vt:variant>
        <vt:i4>5046337</vt:i4>
      </vt:variant>
      <vt:variant>
        <vt:i4>54</vt:i4>
      </vt:variant>
      <vt:variant>
        <vt:i4>0</vt:i4>
      </vt:variant>
      <vt:variant>
        <vt:i4>5</vt:i4>
      </vt:variant>
      <vt:variant>
        <vt:lpwstr>http://www.uptodate.com/contents/erythropoietin-for-the-anemia-of-chronic-kidney-disease-in-hemodialysis-patients/abstract/1</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20</cp:revision>
  <cp:lastPrinted>2016-08-23T08:32:00Z</cp:lastPrinted>
  <dcterms:created xsi:type="dcterms:W3CDTF">2016-08-22T18:11:00Z</dcterms:created>
  <dcterms:modified xsi:type="dcterms:W3CDTF">2016-10-25T06:34:00Z</dcterms:modified>
</cp:coreProperties>
</file>